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49" w:rsidRPr="00CF6C49" w:rsidRDefault="00CF6C49" w:rsidP="00CF6C4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F6C49" w:rsidRPr="00CF6C49" w:rsidRDefault="00CF6C49" w:rsidP="00CF6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03339" wp14:editId="68C9FA28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49" w:rsidRPr="00CF6C49" w:rsidRDefault="00CF6C49" w:rsidP="00CF6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49" w:rsidRPr="00CF6C49" w:rsidRDefault="00CF6C49" w:rsidP="00CF6C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CF6C49" w:rsidRPr="00CF6C49" w:rsidRDefault="00CF6C49" w:rsidP="00CF6C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CF6C49" w:rsidRPr="00CF6C49" w:rsidRDefault="00CF6C49" w:rsidP="00CF6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CF6C49" w:rsidRPr="00CF6C49" w:rsidRDefault="00CF6C49" w:rsidP="00CF6C4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F6C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F6C49" w:rsidRPr="00CF6C49" w:rsidRDefault="00CF6C49" w:rsidP="00CF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EB251" wp14:editId="285B827A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CF6C49" w:rsidRPr="00CF6C49" w:rsidRDefault="00437524" w:rsidP="00CF6C49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r w:rsidR="00CF6C49" w:rsidRPr="00C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2017 г.  №  799</w:t>
      </w:r>
    </w:p>
    <w:p w:rsidR="00CF6C49" w:rsidRPr="00CF6C49" w:rsidRDefault="00CF6C49" w:rsidP="00CF6C49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</w:t>
      </w:r>
      <w:proofErr w:type="gramStart"/>
      <w:r w:rsidRPr="00C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</w:p>
    <w:p w:rsidR="00CF6C49" w:rsidRDefault="00CF6C49" w:rsidP="00C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78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3"/>
      </w:tblGrid>
      <w:tr w:rsidR="006C0DBF" w:rsidRPr="006C0DBF" w:rsidTr="006C0DBF">
        <w:trPr>
          <w:trHeight w:val="122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DBF" w:rsidRDefault="006C0DBF" w:rsidP="006C0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DBF" w:rsidRDefault="006C0DBF" w:rsidP="006C0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0DBF" w:rsidRPr="006C0DBF" w:rsidRDefault="006C0DBF" w:rsidP="006C0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D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муниципальной программы «О социальной поддержке  населения муниципального образования «Чебаркульский городской округ» </w:t>
            </w:r>
          </w:p>
        </w:tc>
      </w:tr>
    </w:tbl>
    <w:p w:rsidR="006C0DBF" w:rsidRPr="006C0DBF" w:rsidRDefault="006C0DBF" w:rsidP="006C0D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DBF" w:rsidRPr="006C0DBF" w:rsidRDefault="006C0DBF" w:rsidP="006C0D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 Федеральным законом   от 06.10.2003 года № 131-ФЗ               «Об общих принципах организации местного самоуправления </w:t>
      </w:r>
      <w:proofErr w:type="gramStart"/>
      <w:r w:rsidRPr="006C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C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Федерации», частью 1 статьи 179 Бюджетного кодекса Российской Федерации, статьей 24 Положения о бюджетном процессе в Чебаркульском городском округе, Порядком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Утвердить муниципальную программу «</w:t>
      </w:r>
      <w:r w:rsidRPr="006C0DBF">
        <w:rPr>
          <w:rFonts w:ascii="Times New Roman" w:eastAsia="Calibri" w:hAnsi="Times New Roman" w:cs="Times New Roman"/>
          <w:sz w:val="28"/>
          <w:szCs w:val="28"/>
        </w:rPr>
        <w:t>О социальной поддержке населения муниципального образования «Чебаркульский городской округ» (прилагается).</w:t>
      </w: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DBF">
        <w:rPr>
          <w:rFonts w:ascii="Times New Roman" w:eastAsia="Calibri" w:hAnsi="Times New Roman" w:cs="Times New Roman"/>
          <w:sz w:val="28"/>
          <w:szCs w:val="28"/>
        </w:rPr>
        <w:t>2. Признать утратившим силу постановления администрации Чебаркульского городского округа:</w:t>
      </w: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DBF">
        <w:rPr>
          <w:rFonts w:ascii="Times New Roman" w:eastAsia="Calibri" w:hAnsi="Times New Roman" w:cs="Times New Roman"/>
          <w:sz w:val="28"/>
          <w:szCs w:val="28"/>
        </w:rPr>
        <w:t>- от 21 декабря 2016 года № 1034  «Об утверждении муниципальной программы «О социальной поддержке  населения муниципального образования «Чебаркульский городской округ» на 2017-2019 годы;</w:t>
      </w: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DBF">
        <w:rPr>
          <w:rFonts w:ascii="Times New Roman" w:eastAsia="Calibri" w:hAnsi="Times New Roman" w:cs="Times New Roman"/>
          <w:sz w:val="28"/>
          <w:szCs w:val="28"/>
        </w:rPr>
        <w:t>- от 21 марта 2017 года № 158 «О внесении изменений в муниципальную программу «О социальной поддержке населения  МО «Чебаркульский городской округ» на 2017-2019 годы.</w:t>
      </w: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DBF">
        <w:rPr>
          <w:rFonts w:ascii="Times New Roman" w:eastAsia="Calibri" w:hAnsi="Times New Roman" w:cs="Times New Roman"/>
          <w:sz w:val="28"/>
          <w:szCs w:val="28"/>
        </w:rPr>
        <w:t xml:space="preserve"> 3. Отделу ИКТ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DBF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 01 января 2018 года.</w:t>
      </w: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DBF">
        <w:rPr>
          <w:rFonts w:ascii="Times New Roman" w:eastAsia="Calibri" w:hAnsi="Times New Roman" w:cs="Times New Roman"/>
          <w:sz w:val="28"/>
          <w:szCs w:val="28"/>
        </w:rPr>
        <w:lastRenderedPageBreak/>
        <w:t>5. </w:t>
      </w:r>
      <w:r w:rsidRPr="006C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выполнения настоящего постановления возложить на заместителя главы Чебаркульского городского округа по социальным вопросам (Виноградова С.А.).</w:t>
      </w:r>
    </w:p>
    <w:p w:rsidR="006C0DBF" w:rsidRPr="006C0DBF" w:rsidRDefault="006C0DBF" w:rsidP="006C0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DBF" w:rsidRPr="006C0DBF" w:rsidRDefault="006C0DBF" w:rsidP="006C0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DBF" w:rsidRPr="006C0DBF" w:rsidRDefault="006C0DBF" w:rsidP="006C0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DBF" w:rsidRPr="006C0DBF" w:rsidRDefault="006C0DBF" w:rsidP="006C0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E23" w:rsidRDefault="006F5E23" w:rsidP="006C0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DBF" w:rsidRPr="006C0DBF" w:rsidRDefault="006C0DBF" w:rsidP="006C0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6C0DBF" w:rsidRPr="006C0DBF" w:rsidRDefault="006C0DBF" w:rsidP="006C0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 городского округа                                                      С.А. Ковригин</w:t>
      </w:r>
    </w:p>
    <w:p w:rsidR="006C0DBF" w:rsidRPr="006C0DBF" w:rsidRDefault="006C0DBF" w:rsidP="006C0DBF">
      <w:pPr>
        <w:rPr>
          <w:rFonts w:ascii="Calibri" w:eastAsia="Calibri" w:hAnsi="Calibri" w:cs="Times New Roman"/>
        </w:rPr>
      </w:pPr>
    </w:p>
    <w:p w:rsidR="006C0DBF" w:rsidRPr="006C0DBF" w:rsidRDefault="006C0DBF" w:rsidP="006C0DBF">
      <w:pPr>
        <w:rPr>
          <w:rFonts w:ascii="Calibri" w:eastAsia="Calibri" w:hAnsi="Calibri" w:cs="Times New Roman"/>
        </w:rPr>
      </w:pPr>
    </w:p>
    <w:p w:rsidR="00CF6C49" w:rsidRDefault="00CF6C49" w:rsidP="00C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49" w:rsidRDefault="00CF6C49" w:rsidP="00C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49" w:rsidRDefault="00CF6C49" w:rsidP="00C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49" w:rsidRDefault="00CF6C49" w:rsidP="00C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49" w:rsidRDefault="00CF6C49" w:rsidP="00C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49" w:rsidRPr="00CF6C49" w:rsidRDefault="00CF6C49" w:rsidP="00C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49" w:rsidRPr="00CF6C49" w:rsidRDefault="00CF6C49" w:rsidP="00C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49" w:rsidRPr="00CF6C49" w:rsidRDefault="00CF6C49" w:rsidP="00CF6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49" w:rsidRPr="00CF6C49" w:rsidRDefault="00CF6C49" w:rsidP="00CF6C49"/>
    <w:p w:rsidR="00DF1652" w:rsidRDefault="00DF1652"/>
    <w:p w:rsidR="00B04272" w:rsidRDefault="00B04272"/>
    <w:p w:rsidR="00B04272" w:rsidRDefault="00B04272"/>
    <w:p w:rsidR="00B04272" w:rsidRDefault="00B04272"/>
    <w:p w:rsidR="00B04272" w:rsidRDefault="00B04272"/>
    <w:p w:rsidR="00B04272" w:rsidRDefault="00B04272"/>
    <w:p w:rsidR="00B04272" w:rsidRDefault="00B04272"/>
    <w:p w:rsidR="00B04272" w:rsidRDefault="00B04272"/>
    <w:p w:rsidR="00B04272" w:rsidRDefault="00B04272"/>
    <w:p w:rsidR="00B04272" w:rsidRDefault="00B04272"/>
    <w:p w:rsidR="00B04272" w:rsidRDefault="00B04272"/>
    <w:p w:rsidR="00B04272" w:rsidRDefault="00B04272"/>
    <w:p w:rsidR="00B04272" w:rsidRDefault="00B04272"/>
    <w:p w:rsidR="00B04272" w:rsidRDefault="00B04272"/>
    <w:p w:rsidR="00B04272" w:rsidRDefault="00B04272"/>
    <w:p w:rsidR="00B04272" w:rsidRPr="008A68C8" w:rsidRDefault="00B04272" w:rsidP="00B04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04272" w:rsidRPr="008A68C8" w:rsidRDefault="00B04272" w:rsidP="00B04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04272" w:rsidRPr="008A68C8" w:rsidRDefault="00B04272" w:rsidP="00B04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</w:p>
    <w:p w:rsidR="00B04272" w:rsidRPr="008A68C8" w:rsidRDefault="009F68DB" w:rsidP="00B04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«13</w:t>
      </w:r>
      <w:r w:rsidR="00B04272" w:rsidRPr="008A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B0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proofErr w:type="gramStart"/>
      <w:r w:rsidR="00B04272" w:rsidRPr="008A68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04272" w:rsidRPr="008A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799</w:t>
      </w:r>
      <w:bookmarkStart w:id="0" w:name="_GoBack"/>
      <w:bookmarkEnd w:id="0"/>
    </w:p>
    <w:p w:rsidR="00B04272" w:rsidRPr="008A68C8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СОЦИАЛЬНОЙ ПОДДЕРЖКЕ НАСЕЛЕНИЯ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«ЧЕБАРКУЛЬСКИЙ ГОРОДСКОЙ ОКРУГ»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программа) </w:t>
      </w: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7665"/>
      </w:tblGrid>
      <w:tr w:rsidR="00B04272" w:rsidRPr="008C5102" w:rsidTr="007147E6">
        <w:tc>
          <w:tcPr>
            <w:tcW w:w="2755" w:type="dxa"/>
          </w:tcPr>
          <w:p w:rsidR="00B04272" w:rsidRPr="008C5102" w:rsidRDefault="00B04272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65" w:type="dxa"/>
          </w:tcPr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 Чебаркульского городского округа (далее – УСЗН ЧГО).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272" w:rsidRPr="008C5102" w:rsidTr="007147E6">
        <w:tc>
          <w:tcPr>
            <w:tcW w:w="2755" w:type="dxa"/>
          </w:tcPr>
          <w:p w:rsidR="00B04272" w:rsidRPr="008C5102" w:rsidRDefault="00B04272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65" w:type="dxa"/>
          </w:tcPr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Чебаркульского городского округа (далее – администрация ЧГО). Муниципальное учреждение Чебаркульского городского округа «Комплексный центр социального обслуживания населения» (далее – КЦСОН ЧГО).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Чебаркульского городского округа (далее – УК ЧГО).</w:t>
            </w:r>
          </w:p>
        </w:tc>
      </w:tr>
      <w:tr w:rsidR="00B04272" w:rsidRPr="008C5102" w:rsidTr="007147E6">
        <w:tc>
          <w:tcPr>
            <w:tcW w:w="2755" w:type="dxa"/>
          </w:tcPr>
          <w:p w:rsidR="00B04272" w:rsidRPr="008C5102" w:rsidRDefault="00B04272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665" w:type="dxa"/>
          </w:tcPr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округа по социальным вопросам </w:t>
            </w:r>
          </w:p>
        </w:tc>
      </w:tr>
      <w:tr w:rsidR="00B04272" w:rsidRPr="008C5102" w:rsidTr="007147E6">
        <w:trPr>
          <w:trHeight w:val="1411"/>
        </w:trPr>
        <w:tc>
          <w:tcPr>
            <w:tcW w:w="2755" w:type="dxa"/>
          </w:tcPr>
          <w:p w:rsidR="00B04272" w:rsidRPr="008C5102" w:rsidRDefault="00B04272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665" w:type="dxa"/>
          </w:tcPr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510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B04272" w:rsidRPr="008C5102" w:rsidTr="007147E6">
        <w:trPr>
          <w:trHeight w:val="983"/>
        </w:trPr>
        <w:tc>
          <w:tcPr>
            <w:tcW w:w="2755" w:type="dxa"/>
          </w:tcPr>
          <w:p w:rsidR="00B04272" w:rsidRPr="008C5102" w:rsidRDefault="00B04272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665" w:type="dxa"/>
          </w:tcPr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 поддержка  граждан, нуждающихся в социальном обслуживании;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 комплекса мероприятий и акций,                                                                                                                         </w:t>
            </w:r>
            <w:r w:rsidRPr="008C5102">
              <w:rPr>
                <w:rFonts w:ascii="Times New Roman" w:hAnsi="Times New Roman" w:cs="Times New Roman"/>
                <w:sz w:val="24"/>
                <w:szCs w:val="24"/>
              </w:rPr>
              <w:t>посвященных памятным датам, имеющих социальную направленность;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мер социальной поддержки гражданам пожилого возраста и гражданам  других категорий;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 срочных социальных услуг, социальных услуг в форме социального обслуживания на дому, в полустационарной форме  в условиях дневного пребывания.</w:t>
            </w:r>
          </w:p>
        </w:tc>
      </w:tr>
      <w:tr w:rsidR="00B04272" w:rsidRPr="008C5102" w:rsidTr="007147E6">
        <w:trPr>
          <w:trHeight w:val="586"/>
        </w:trPr>
        <w:tc>
          <w:tcPr>
            <w:tcW w:w="2755" w:type="dxa"/>
          </w:tcPr>
          <w:p w:rsidR="00B04272" w:rsidRPr="008C5102" w:rsidRDefault="00B04272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665" w:type="dxa"/>
          </w:tcPr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2018-2020 годы.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B04272" w:rsidRPr="008C5102" w:rsidTr="007147E6">
        <w:trPr>
          <w:trHeight w:val="983"/>
        </w:trPr>
        <w:tc>
          <w:tcPr>
            <w:tcW w:w="2755" w:type="dxa"/>
          </w:tcPr>
          <w:p w:rsidR="00B04272" w:rsidRPr="008C5102" w:rsidRDefault="00B04272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665" w:type="dxa"/>
          </w:tcPr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B04272" w:rsidRPr="008C5102" w:rsidTr="007147E6">
        <w:trPr>
          <w:trHeight w:val="983"/>
        </w:trPr>
        <w:tc>
          <w:tcPr>
            <w:tcW w:w="2755" w:type="dxa"/>
          </w:tcPr>
          <w:p w:rsidR="00B04272" w:rsidRPr="008C5102" w:rsidRDefault="00B04272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665" w:type="dxa"/>
          </w:tcPr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2018 год и плановый период 2019 и 2020 годы составляет 473 612 400,00 рублей, в том числе:</w:t>
            </w: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29 370 900,00 рублей из средств местного бюджета.</w:t>
            </w: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C51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444 241 500,00 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из средств областного бюджета.</w:t>
            </w: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2018 год 156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 рублей:</w:t>
            </w: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- 9 790 300</w:t>
            </w:r>
            <w:r w:rsidRPr="008C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- 146 883 800,00 рублей – средства областного бюджета.</w:t>
            </w: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2019 год 158 227 400,00 рублей:</w:t>
            </w: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9 790 300</w:t>
            </w:r>
            <w:r w:rsidRPr="008C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C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148 437 100,00 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proofErr w:type="gramStart"/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-– </w:t>
            </w:r>
            <w:proofErr w:type="gramEnd"/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бюджета.</w:t>
            </w: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2020 год 158 710 900,00 рублей:</w:t>
            </w: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9 790 300</w:t>
            </w:r>
            <w:r w:rsidRPr="008C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B04272" w:rsidRPr="008C5102" w:rsidRDefault="00B04272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C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148 920 600,00 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proofErr w:type="gramStart"/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-– </w:t>
            </w:r>
            <w:proofErr w:type="gramEnd"/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бюджета.</w:t>
            </w:r>
          </w:p>
        </w:tc>
      </w:tr>
      <w:tr w:rsidR="00B04272" w:rsidRPr="008C5102" w:rsidTr="007147E6">
        <w:tc>
          <w:tcPr>
            <w:tcW w:w="2755" w:type="dxa"/>
          </w:tcPr>
          <w:p w:rsidR="00B04272" w:rsidRPr="008C5102" w:rsidRDefault="00B04272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665" w:type="dxa"/>
          </w:tcPr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hAnsi="Times New Roman" w:cs="Times New Roman"/>
                <w:sz w:val="24"/>
                <w:szCs w:val="24"/>
              </w:rPr>
              <w:t>1.Доля  граждан,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помощи</w:t>
            </w:r>
            <w:proofErr w:type="gramStart"/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2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городских акций и мероприятий, посвященных памятным датам, акций и мероприятий социальной направленности, </w:t>
            </w:r>
            <w:proofErr w:type="spellStart"/>
            <w:proofErr w:type="gramStart"/>
            <w:r w:rsidRPr="008C510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8C5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hAnsi="Times New Roman" w:cs="Times New Roman"/>
                <w:sz w:val="24"/>
                <w:szCs w:val="24"/>
              </w:rPr>
              <w:t>3. Доля пожилых граждан и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 других категорий, которым оказаны меры социальной поддержки от общего числа пожилых граждан и граждан других категорий, обратившихся за мерами социальной поддержки,   %;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2">
              <w:rPr>
                <w:rFonts w:ascii="Times New Roman" w:hAnsi="Times New Roman" w:cs="Times New Roman"/>
                <w:sz w:val="24"/>
                <w:szCs w:val="24"/>
              </w:rPr>
              <w:t>4. Доля граждан,  получивших  срочные социальные услуги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социальные услуги в форме социального обслуживания на дому, в полустационарной форме  в условиях дневного пребывания, в общем числе граждан, обратившихся за предоставлением  срочных </w:t>
            </w:r>
            <w:r w:rsidRPr="008C5102"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социальных услуг в форме социального обслуживания на дому, в полустационарной форме  в условиях дневного пребывания, %.</w:t>
            </w:r>
          </w:p>
        </w:tc>
      </w:tr>
      <w:tr w:rsidR="00B04272" w:rsidRPr="008C5102" w:rsidTr="007147E6">
        <w:trPr>
          <w:trHeight w:val="81"/>
        </w:trPr>
        <w:tc>
          <w:tcPr>
            <w:tcW w:w="2755" w:type="dxa"/>
          </w:tcPr>
          <w:p w:rsidR="00B04272" w:rsidRPr="008C5102" w:rsidRDefault="00B04272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B04272" w:rsidRPr="008C5102" w:rsidRDefault="00B04272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муниципальной программы к 2020 году</w:t>
            </w:r>
          </w:p>
        </w:tc>
        <w:tc>
          <w:tcPr>
            <w:tcW w:w="7665" w:type="dxa"/>
          </w:tcPr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на соответствующем уровне доли   граждан, получивших  социальную помощь  не менее  87 %;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на соответствующем  уровне количества мероприятий и акций, посвященных памятным датам, имеющим социальную направленность- 8 мероприятий;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на соответствующем уровне  доли граждан пожилого возраста и граждан других категорий, которым  оказаны меры социальной поддержки не менее 100 %;</w:t>
            </w:r>
          </w:p>
          <w:p w:rsidR="00B04272" w:rsidRPr="008C5102" w:rsidRDefault="00B04272" w:rsidP="00714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2">
              <w:rPr>
                <w:rFonts w:ascii="Times New Roman" w:hAnsi="Times New Roman" w:cs="Times New Roman"/>
                <w:sz w:val="24"/>
                <w:szCs w:val="24"/>
              </w:rPr>
              <w:t xml:space="preserve">-сохранение на соответствующем уровне доли граждан, которым предоставлены </w:t>
            </w:r>
            <w:r w:rsidRPr="008C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срочные социальные услуги, социальные услуги в форме социального обслуживания на дому, в полустационарной форме  в условиях дневного пребывания не менее 100%;</w:t>
            </w:r>
          </w:p>
        </w:tc>
      </w:tr>
    </w:tbl>
    <w:p w:rsidR="00B04272" w:rsidRDefault="00B04272" w:rsidP="00B0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4272" w:rsidRDefault="00B04272" w:rsidP="00B0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«Содержание проблемы и обоснование необходимости ее решения программными методами».</w:t>
      </w:r>
    </w:p>
    <w:p w:rsidR="00B04272" w:rsidRPr="00854CF4" w:rsidRDefault="00B04272" w:rsidP="00B0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Pr="00854CF4" w:rsidRDefault="00B04272" w:rsidP="00B0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социальной сферы Чебаркульского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групп населения.</w:t>
      </w:r>
    </w:p>
    <w:p w:rsidR="00B04272" w:rsidRPr="008C5102" w:rsidRDefault="00B04272" w:rsidP="00B0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510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Важно, что главной составляющей в области социальной поддержки населения является  повышение уровня и качества жизни граждан, пенсионеров, участников Великой Отечественной войны и других льготных категорий населения (малоимущих граждан, граждан, нуждающихся в социальном обслуживании). </w:t>
      </w:r>
    </w:p>
    <w:p w:rsidR="00B04272" w:rsidRPr="008C5102" w:rsidRDefault="00B04272" w:rsidP="00B0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  <w:lang w:eastAsia="ru-RU"/>
        </w:rPr>
      </w:pPr>
      <w:r w:rsidRPr="008C510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Мероприятия программы являются мерами социальной помощи и поддержки населения Чебаркульского городского округа к действующим федеральным и областным целевым программам. </w:t>
      </w:r>
      <w:proofErr w:type="gramStart"/>
      <w:r w:rsidRPr="008C510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Согласно </w:t>
      </w:r>
      <w:r w:rsidRPr="008C5102">
        <w:rPr>
          <w:sz w:val="29"/>
          <w:szCs w:val="29"/>
        </w:rPr>
        <w:t xml:space="preserve"> </w:t>
      </w:r>
      <w:r w:rsidRPr="008C5102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Федеральному закону Российской Федерации  от 06.10.2003 г. № 131-ФЗ 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  <w:r w:rsidRPr="008C510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 счет средств местного бюджета  предоставляются   меры социальной поддержке следующим категориям граждан, а именно, </w:t>
      </w:r>
      <w:r w:rsidRPr="008C5102">
        <w:rPr>
          <w:rFonts w:ascii="Times New Roman" w:hAnsi="Times New Roman" w:cs="Times New Roman"/>
          <w:sz w:val="29"/>
          <w:szCs w:val="29"/>
          <w:lang w:eastAsia="ru-RU"/>
        </w:rPr>
        <w:t>почетные граждане города,   лица, замещавшие  должности муниципальной службы, депутаты, члены выборного  органа местного самоуправления, выборные должностные лица местного самоуправления, малоимущие граждане, оказавшиеся в трудной жизненной ситуации и др.</w:t>
      </w:r>
    </w:p>
    <w:p w:rsidR="00B04272" w:rsidRDefault="00B04272" w:rsidP="00B0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проходит в рамках  </w:t>
      </w:r>
      <w:r w:rsidRPr="00854CF4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 от  28 декабря 2013 № 442-ФЗ «Об основах социального обслуживания граждан в Российской Федерации», Закона  Челябинской области от 23 октября 2014 № 36-ЗО «Об организации социального обслуживания граждан в Челябинской области», Закона Челябинской области  от 24 ноября 2005 года № 430-ЗО «О наделении органов местного самоуправления государственными полномочиями по социальной поддержке отдельных категорий</w:t>
      </w:r>
      <w:proofErr w:type="gramEnd"/>
      <w:r w:rsidRPr="00854CF4">
        <w:rPr>
          <w:rFonts w:ascii="Times New Roman" w:hAnsi="Times New Roman" w:cs="Times New Roman"/>
          <w:sz w:val="28"/>
          <w:szCs w:val="28"/>
        </w:rPr>
        <w:t xml:space="preserve"> граждан», а также 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 нормативными </w:t>
      </w:r>
      <w:r w:rsidRPr="00854CF4">
        <w:rPr>
          <w:rFonts w:ascii="Times New Roman" w:hAnsi="Times New Roman" w:cs="Times New Roman"/>
          <w:sz w:val="28"/>
          <w:szCs w:val="28"/>
        </w:rPr>
        <w:t>правовыми актами Чебаркульского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именно, Положением  </w:t>
      </w:r>
      <w:r w:rsidRPr="00BD2611">
        <w:rPr>
          <w:rFonts w:ascii="Times New Roman" w:hAnsi="Times New Roman" w:cs="Times New Roman"/>
          <w:sz w:val="28"/>
          <w:szCs w:val="28"/>
        </w:rPr>
        <w:t>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редакции, утвержденного решением  Собрания депутатов Чебаркульского городского округа  от 10 января 2017 года № 253,  Положением о </w:t>
      </w:r>
      <w:r>
        <w:rPr>
          <w:rFonts w:ascii="Times New Roman" w:hAnsi="Times New Roman"/>
          <w:sz w:val="28"/>
          <w:szCs w:val="28"/>
        </w:rPr>
        <w:t>Почетном гражданине города Чебаркуля, утвержденного решением Собрания депутатов Чебаркульского городского округа от 04 августа 2015 года № 1005, Положением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54699">
        <w:rPr>
          <w:rFonts w:ascii="Times New Roman" w:hAnsi="Times New Roman"/>
          <w:sz w:val="28"/>
          <w:szCs w:val="28"/>
        </w:rPr>
        <w:t xml:space="preserve">об </w:t>
      </w:r>
    </w:p>
    <w:p w:rsidR="00B04272" w:rsidRPr="00EF16FB" w:rsidRDefault="00B04272" w:rsidP="00B04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proofErr w:type="gramStart"/>
      <w:r w:rsidRPr="00D54699">
        <w:rPr>
          <w:rFonts w:ascii="Times New Roman" w:hAnsi="Times New Roman"/>
          <w:sz w:val="28"/>
          <w:szCs w:val="28"/>
        </w:rPr>
        <w:lastRenderedPageBreak/>
        <w:t>условиях  назначения и выплате ежемесячной 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</w:t>
      </w:r>
      <w:r>
        <w:rPr>
          <w:rFonts w:ascii="Times New Roman" w:hAnsi="Times New Roman"/>
          <w:sz w:val="28"/>
          <w:szCs w:val="28"/>
        </w:rPr>
        <w:t xml:space="preserve">, утвержденного решением Собрания депутатов Чебаркульского городского округа от 09 марта 2017 года № 293, Положением </w:t>
      </w:r>
      <w:r w:rsidRPr="00EF16FB">
        <w:rPr>
          <w:rFonts w:ascii="Times New Roman" w:hAnsi="Times New Roman"/>
          <w:sz w:val="28"/>
          <w:szCs w:val="28"/>
        </w:rPr>
        <w:t xml:space="preserve"> о социальной комиссии муниципального образования  «Чебаркульский городской округ» в новой редакции</w:t>
      </w:r>
      <w:r>
        <w:rPr>
          <w:rFonts w:ascii="Times New Roman" w:hAnsi="Times New Roman"/>
          <w:sz w:val="28"/>
          <w:szCs w:val="28"/>
        </w:rPr>
        <w:t>, утвержденного постановлением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Чебаркульского городского округа </w:t>
      </w:r>
      <w:r w:rsidRPr="00EF1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EF16FB">
        <w:rPr>
          <w:rFonts w:ascii="Times New Roman" w:hAnsi="Times New Roman"/>
          <w:sz w:val="28"/>
          <w:szCs w:val="28"/>
        </w:rPr>
        <w:t>04   апреля 2017 г.  №  204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B04272" w:rsidRPr="00854CF4" w:rsidRDefault="00B04272" w:rsidP="00B0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в Чебаркульском городском округе предоставляются гражданам в форме ежемесячных, ежегодных или единовременных денежных выплат, единовременной материальной помощи, компенсаций, субсидий,  пенсий, а также натуральной помощи.</w:t>
      </w:r>
    </w:p>
    <w:p w:rsidR="00B04272" w:rsidRPr="00854CF4" w:rsidRDefault="00B04272" w:rsidP="00B04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учете в Управлении социальной защиты населения Чебаркульского городского округа 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16 686 человек (за исключением  семей, получателей детских пособий, неполных семей с детьми до 18 лет, многодетных семей с детьми до 18 лет и т.д.).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7641"/>
        <w:gridCol w:w="1418"/>
      </w:tblGrid>
      <w:tr w:rsidR="00B04272" w:rsidRPr="00854CF4" w:rsidTr="007147E6">
        <w:trPr>
          <w:trHeight w:val="561"/>
        </w:trPr>
        <w:tc>
          <w:tcPr>
            <w:tcW w:w="1114" w:type="dxa"/>
            <w:shd w:val="clear" w:color="auto" w:fill="auto"/>
          </w:tcPr>
          <w:p w:rsidR="00B04272" w:rsidRPr="0009389A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04272" w:rsidRPr="0009389A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3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3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41" w:type="dxa"/>
            <w:shd w:val="clear" w:color="auto" w:fill="auto"/>
          </w:tcPr>
          <w:p w:rsidR="00B04272" w:rsidRPr="0009389A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Категория населения</w:t>
            </w:r>
          </w:p>
        </w:tc>
        <w:tc>
          <w:tcPr>
            <w:tcW w:w="1418" w:type="dxa"/>
            <w:vAlign w:val="center"/>
          </w:tcPr>
          <w:p w:rsidR="00B04272" w:rsidRPr="0009389A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  <w:p w:rsidR="00B04272" w:rsidRPr="0009389A" w:rsidRDefault="00B04272" w:rsidP="0071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(чел.)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ВОВ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ВОВ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04272" w:rsidRPr="00854CF4" w:rsidTr="007147E6">
        <w:trPr>
          <w:trHeight w:val="561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Инвалиды всех групп </w:t>
            </w:r>
          </w:p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(кроме инвалидов ВОВ)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2478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Труженики тыла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B04272" w:rsidRPr="00854CF4" w:rsidTr="007147E6">
        <w:trPr>
          <w:trHeight w:val="385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блокадного Ленинграда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Реабилитированные лица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Ветераны боевых действий 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B04272" w:rsidRPr="00854CF4" w:rsidTr="007147E6">
        <w:trPr>
          <w:trHeight w:val="317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Лица, пострадавшие от радиационных воздействий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Ветераны труда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3509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Ветераны труда Челябинской области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2826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Почетные доноры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Бывшие несовершеннолетние узники фашизма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Вдовы </w:t>
            </w:r>
            <w:proofErr w:type="gramStart"/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(ИВОВ,  УВОВ)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семьи погибших (умерших) военнослужащих  (475 Постановление).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7641" w:type="dxa"/>
            <w:shd w:val="clear" w:color="auto" w:fill="auto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 семей погибших (умерших) военнослужащих (142 Постановление).</w:t>
            </w:r>
          </w:p>
        </w:tc>
        <w:tc>
          <w:tcPr>
            <w:tcW w:w="1418" w:type="dxa"/>
            <w:vAlign w:val="center"/>
          </w:tcPr>
          <w:p w:rsidR="00B04272" w:rsidRPr="00E21526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41" w:type="dxa"/>
            <w:shd w:val="clear" w:color="auto" w:fill="auto"/>
          </w:tcPr>
          <w:p w:rsidR="00B04272" w:rsidRPr="0048292F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Получатели субсидий на оплату ЖКХ</w:t>
            </w:r>
          </w:p>
        </w:tc>
        <w:tc>
          <w:tcPr>
            <w:tcW w:w="1418" w:type="dxa"/>
            <w:vAlign w:val="center"/>
          </w:tcPr>
          <w:p w:rsidR="00B04272" w:rsidRPr="0048292F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41" w:type="dxa"/>
            <w:shd w:val="clear" w:color="auto" w:fill="auto"/>
          </w:tcPr>
          <w:p w:rsidR="00B04272" w:rsidRPr="00854CF4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Получатели срочных социальных услуг</w:t>
            </w:r>
          </w:p>
        </w:tc>
        <w:tc>
          <w:tcPr>
            <w:tcW w:w="1418" w:type="dxa"/>
            <w:vAlign w:val="center"/>
          </w:tcPr>
          <w:p w:rsidR="00B04272" w:rsidRPr="00854CF4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41" w:type="dxa"/>
            <w:shd w:val="clear" w:color="auto" w:fill="auto"/>
          </w:tcPr>
          <w:p w:rsidR="00B04272" w:rsidRPr="00854CF4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на дому</w:t>
            </w:r>
          </w:p>
        </w:tc>
        <w:tc>
          <w:tcPr>
            <w:tcW w:w="1418" w:type="dxa"/>
            <w:vAlign w:val="center"/>
          </w:tcPr>
          <w:p w:rsidR="00B04272" w:rsidRPr="00854CF4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641" w:type="dxa"/>
            <w:shd w:val="clear" w:color="auto" w:fill="auto"/>
          </w:tcPr>
          <w:p w:rsidR="00B04272" w:rsidRPr="00854CF4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в отделении дневного пребывания</w:t>
            </w:r>
          </w:p>
        </w:tc>
        <w:tc>
          <w:tcPr>
            <w:tcW w:w="1418" w:type="dxa"/>
            <w:vAlign w:val="center"/>
          </w:tcPr>
          <w:p w:rsidR="00B04272" w:rsidRPr="00854CF4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641" w:type="dxa"/>
            <w:shd w:val="clear" w:color="auto" w:fill="auto"/>
          </w:tcPr>
          <w:p w:rsidR="00B04272" w:rsidRPr="00990C7D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Почетные граждане города  </w:t>
            </w:r>
          </w:p>
        </w:tc>
        <w:tc>
          <w:tcPr>
            <w:tcW w:w="1418" w:type="dxa"/>
            <w:vAlign w:val="center"/>
          </w:tcPr>
          <w:p w:rsidR="00B04272" w:rsidRPr="00990C7D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641" w:type="dxa"/>
            <w:shd w:val="clear" w:color="auto" w:fill="auto"/>
          </w:tcPr>
          <w:p w:rsidR="00B04272" w:rsidRPr="00990C7D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Лица, замещавшие  должности муниципальной службы </w:t>
            </w:r>
          </w:p>
        </w:tc>
        <w:tc>
          <w:tcPr>
            <w:tcW w:w="1418" w:type="dxa"/>
            <w:vAlign w:val="center"/>
          </w:tcPr>
          <w:p w:rsidR="00B04272" w:rsidRPr="00990C7D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641" w:type="dxa"/>
            <w:shd w:val="clear" w:color="auto" w:fill="auto"/>
          </w:tcPr>
          <w:p w:rsidR="00B04272" w:rsidRPr="00990C7D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Депутаты</w:t>
            </w:r>
            <w:proofErr w:type="gramStart"/>
            <w:r w:rsidRPr="0099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выборного  органа местного самоуправления, выборные должностные лица местного самоуправления </w:t>
            </w:r>
          </w:p>
        </w:tc>
        <w:tc>
          <w:tcPr>
            <w:tcW w:w="1418" w:type="dxa"/>
            <w:vAlign w:val="center"/>
          </w:tcPr>
          <w:p w:rsidR="00B04272" w:rsidRPr="00990C7D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641" w:type="dxa"/>
            <w:shd w:val="clear" w:color="auto" w:fill="auto"/>
          </w:tcPr>
          <w:p w:rsidR="00B04272" w:rsidRPr="00990C7D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70летние одинокие пенсионеры</w:t>
            </w:r>
          </w:p>
        </w:tc>
        <w:tc>
          <w:tcPr>
            <w:tcW w:w="1418" w:type="dxa"/>
            <w:vAlign w:val="center"/>
          </w:tcPr>
          <w:p w:rsidR="00B04272" w:rsidRPr="00990C7D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41" w:type="dxa"/>
            <w:shd w:val="clear" w:color="auto" w:fill="auto"/>
          </w:tcPr>
          <w:p w:rsidR="00B04272" w:rsidRPr="00990C7D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Семьи 70-летних пенсионеров </w:t>
            </w:r>
          </w:p>
        </w:tc>
        <w:tc>
          <w:tcPr>
            <w:tcW w:w="1418" w:type="dxa"/>
            <w:vAlign w:val="center"/>
          </w:tcPr>
          <w:p w:rsidR="00B04272" w:rsidRPr="00990C7D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41" w:type="dxa"/>
            <w:shd w:val="clear" w:color="auto" w:fill="auto"/>
          </w:tcPr>
          <w:p w:rsidR="00B0427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80-летние одинокие пенсионеры</w:t>
            </w:r>
          </w:p>
        </w:tc>
        <w:tc>
          <w:tcPr>
            <w:tcW w:w="1418" w:type="dxa"/>
            <w:vAlign w:val="center"/>
          </w:tcPr>
          <w:p w:rsidR="00B0427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41" w:type="dxa"/>
            <w:shd w:val="clear" w:color="auto" w:fill="auto"/>
          </w:tcPr>
          <w:p w:rsidR="00B0427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 80-летних пенсионеров</w:t>
            </w:r>
          </w:p>
        </w:tc>
        <w:tc>
          <w:tcPr>
            <w:tcW w:w="1418" w:type="dxa"/>
            <w:vAlign w:val="center"/>
          </w:tcPr>
          <w:p w:rsidR="00B0427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41" w:type="dxa"/>
            <w:shd w:val="clear" w:color="auto" w:fill="auto"/>
          </w:tcPr>
          <w:p w:rsidR="00B0427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Семьи пенсионеров с инвалидами не пенсионного возраста </w:t>
            </w:r>
          </w:p>
        </w:tc>
        <w:tc>
          <w:tcPr>
            <w:tcW w:w="1418" w:type="dxa"/>
            <w:vAlign w:val="center"/>
          </w:tcPr>
          <w:p w:rsidR="00B0427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41" w:type="dxa"/>
            <w:shd w:val="clear" w:color="auto" w:fill="auto"/>
          </w:tcPr>
          <w:p w:rsidR="00B0427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нвалидов</w:t>
            </w:r>
          </w:p>
        </w:tc>
        <w:tc>
          <w:tcPr>
            <w:tcW w:w="1418" w:type="dxa"/>
            <w:vAlign w:val="center"/>
          </w:tcPr>
          <w:p w:rsidR="00B0427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41" w:type="dxa"/>
            <w:shd w:val="clear" w:color="auto" w:fill="auto"/>
          </w:tcPr>
          <w:p w:rsidR="00B04272" w:rsidRPr="00A55B3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Одинокая мать  с ребенком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нвалидом</w:t>
            </w:r>
          </w:p>
        </w:tc>
        <w:tc>
          <w:tcPr>
            <w:tcW w:w="1418" w:type="dxa"/>
            <w:vAlign w:val="center"/>
          </w:tcPr>
          <w:p w:rsidR="00B0427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41" w:type="dxa"/>
            <w:shd w:val="clear" w:color="auto" w:fill="auto"/>
          </w:tcPr>
          <w:p w:rsidR="00B04272" w:rsidRPr="00A55B3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Одинокая мать  инвалида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5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18" w:type="dxa"/>
            <w:vAlign w:val="center"/>
          </w:tcPr>
          <w:p w:rsidR="00B0427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41" w:type="dxa"/>
            <w:shd w:val="clear" w:color="auto" w:fill="auto"/>
          </w:tcPr>
          <w:p w:rsidR="00B04272" w:rsidRPr="00A55B3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Инвалиды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418" w:type="dxa"/>
            <w:vAlign w:val="center"/>
          </w:tcPr>
          <w:p w:rsidR="00B04272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904E7E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641" w:type="dxa"/>
            <w:shd w:val="clear" w:color="auto" w:fill="auto"/>
          </w:tcPr>
          <w:p w:rsidR="00B04272" w:rsidRPr="002F699B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погибших защитников Отечества</w:t>
            </w:r>
          </w:p>
        </w:tc>
        <w:tc>
          <w:tcPr>
            <w:tcW w:w="1418" w:type="dxa"/>
            <w:vAlign w:val="center"/>
          </w:tcPr>
          <w:p w:rsidR="00B04272" w:rsidRPr="002F699B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B04272" w:rsidRPr="00854CF4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B04272" w:rsidRPr="00854CF4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1" w:type="dxa"/>
            <w:shd w:val="clear" w:color="auto" w:fill="auto"/>
          </w:tcPr>
          <w:p w:rsidR="00B04272" w:rsidRPr="00854CF4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получателей:</w:t>
            </w:r>
          </w:p>
        </w:tc>
        <w:tc>
          <w:tcPr>
            <w:tcW w:w="1418" w:type="dxa"/>
            <w:vAlign w:val="center"/>
          </w:tcPr>
          <w:p w:rsidR="00B04272" w:rsidRPr="0009389A" w:rsidRDefault="00B04272" w:rsidP="00714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16 686 чел.</w:t>
            </w:r>
          </w:p>
        </w:tc>
      </w:tr>
    </w:tbl>
    <w:p w:rsidR="00B04272" w:rsidRPr="00854CF4" w:rsidRDefault="00B04272" w:rsidP="00B042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задач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поддержке населения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Чебаркульского городского округа  используется  программно-целевой метод.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применение даст возможность реализовать права граждан в социальной сфере во всех направлениях, на которые они имеют право, согласно действующему законодательству. 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 реализации муниципальной программы «О социальной поддержке населения муниципального образования «Чебаркульский городской округ» носит актуальный характер. </w:t>
      </w:r>
    </w:p>
    <w:p w:rsidR="00B04272" w:rsidRDefault="00B04272" w:rsidP="00B0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Стратегией социально-экономического развития Чебаркульского городского округа, Прогнозом социально-экономического развития муниципального образования Чебаркульский городской округ.</w:t>
      </w:r>
    </w:p>
    <w:p w:rsidR="00B04272" w:rsidRPr="00854CF4" w:rsidRDefault="00B04272" w:rsidP="00B0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 2 социального блока Стратегии  социально-экономического развития Чебаркульского городского округа  программа разработана по  направлениям  развития системы социальной защиты населения в разрезе реализации мер по дополнительным выплатам денежных компенсаций  незащищенным категориям граждан, выплат субсидий на оплату коммунальных услуг.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программы».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программы является </w:t>
      </w:r>
      <w:r w:rsidRPr="00854CF4">
        <w:rPr>
          <w:rFonts w:ascii="Times New Roman" w:hAnsi="Times New Roman" w:cs="Times New Roman"/>
          <w:sz w:val="28"/>
          <w:szCs w:val="28"/>
        </w:rPr>
        <w:t>создание условий для роста благосостояния граждан - получателей мер социальной поддержки, повышение качества жизни граждан и доступности социального обслуживания населения.</w:t>
      </w:r>
    </w:p>
    <w:p w:rsidR="00B04272" w:rsidRDefault="00B04272" w:rsidP="00B0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предполагает  решение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задач:</w:t>
      </w:r>
    </w:p>
    <w:p w:rsidR="00B04272" w:rsidRDefault="00B04272" w:rsidP="00B0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-социальная поддержка  граждан, нуждающихся в социальном обслуживании;</w:t>
      </w:r>
    </w:p>
    <w:p w:rsidR="00B04272" w:rsidRPr="00854CF4" w:rsidRDefault="00B04272" w:rsidP="00B0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мероприятий и акций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посвященных памятным датам,</w:t>
      </w:r>
      <w:r w:rsidRPr="00854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 социальную направленность;</w:t>
      </w:r>
    </w:p>
    <w:p w:rsidR="00B04272" w:rsidRPr="00854CF4" w:rsidRDefault="00B04272" w:rsidP="00B0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мер социальной поддержки гражданам пожилого возр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 и гражданам других категорий;</w:t>
      </w:r>
    </w:p>
    <w:p w:rsidR="00B04272" w:rsidRDefault="00B04272" w:rsidP="00B0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срочных социальных услуг*, социальных услуг в форме социального обслуживания на дому, в полустационарной форме  в условиях дневного пребывания.</w:t>
      </w:r>
    </w:p>
    <w:p w:rsidR="00B04272" w:rsidRPr="006F34AF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6F34AF">
        <w:rPr>
          <w:rFonts w:ascii="Times New Roman" w:eastAsia="Times New Roman" w:hAnsi="Times New Roman" w:cs="Times New Roman"/>
          <w:sz w:val="20"/>
          <w:szCs w:val="20"/>
          <w:lang w:eastAsia="ru-RU"/>
        </w:rPr>
        <w:t>* Оказание неотложной помощи разового характера гражданам, признанными нуждающимися в социальном обслуживании, направленной на поддержание их жизнедеятельности</w:t>
      </w:r>
      <w:r w:rsidRPr="006F34AF"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  <w:t>.</w:t>
      </w:r>
      <w:proofErr w:type="gramEnd"/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мероприятия осуществляются в соответствии с  приоритетными направлениями деятельности  органов местного самоуправления Чебаркульского городского округа  до 2020 года, утвержденной Стратегией социально-экономического развития до 2020 года. </w:t>
      </w:r>
    </w:p>
    <w:p w:rsidR="00B04272" w:rsidRPr="00854CF4" w:rsidRDefault="00B04272" w:rsidP="00B042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«Сроки и этапы реализации муниципальной программы».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программы: 2018 – 2020</w:t>
      </w:r>
      <w:r w:rsidRPr="0085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«Система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показатели (индикаторы) 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программы».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– это  комплекс мер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поддержки, разработанной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 системы социальной и экономической подд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ержки малообеспеченных граждан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 с ограниченными возможностями здоровья, пожилых людей, граждан, оказавшихс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в трудной жизненной ситуации и др.</w:t>
      </w: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4272" w:rsidSect="000E3D73">
          <w:head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8"/>
        <w:tblW w:w="15307" w:type="dxa"/>
        <w:tblLayout w:type="fixed"/>
        <w:tblLook w:val="04A0" w:firstRow="1" w:lastRow="0" w:firstColumn="1" w:lastColumn="0" w:noHBand="0" w:noVBand="1"/>
      </w:tblPr>
      <w:tblGrid>
        <w:gridCol w:w="675"/>
        <w:gridCol w:w="24"/>
        <w:gridCol w:w="2244"/>
        <w:gridCol w:w="7229"/>
        <w:gridCol w:w="2268"/>
        <w:gridCol w:w="426"/>
        <w:gridCol w:w="991"/>
        <w:gridCol w:w="1440"/>
        <w:gridCol w:w="10"/>
      </w:tblGrid>
      <w:tr w:rsidR="00B04272" w:rsidRPr="00B41CBE" w:rsidTr="007147E6">
        <w:tc>
          <w:tcPr>
            <w:tcW w:w="699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44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Задача муниципальной программы </w:t>
            </w:r>
          </w:p>
        </w:tc>
        <w:tc>
          <w:tcPr>
            <w:tcW w:w="7229" w:type="dxa"/>
          </w:tcPr>
          <w:p w:rsidR="00B04272" w:rsidRPr="00B41CBE" w:rsidRDefault="00B04272" w:rsidP="007147E6">
            <w:pPr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Показатели (индикаторы)</w:t>
            </w:r>
          </w:p>
        </w:tc>
        <w:tc>
          <w:tcPr>
            <w:tcW w:w="1417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450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B04272" w:rsidRPr="00B41CBE" w:rsidTr="007147E6">
        <w:tc>
          <w:tcPr>
            <w:tcW w:w="699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4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29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0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04272" w:rsidRPr="00B41CBE" w:rsidTr="007147E6">
        <w:tc>
          <w:tcPr>
            <w:tcW w:w="15307" w:type="dxa"/>
            <w:gridSpan w:val="9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1.Цель: </w:t>
            </w:r>
            <w:r w:rsidRPr="00B41CBE">
              <w:rPr>
                <w:rFonts w:ascii="Times New Roman" w:hAnsi="Times New Roman" w:cs="Times New Roman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B04272" w:rsidRPr="00B41CBE" w:rsidTr="007147E6">
        <w:trPr>
          <w:gridAfter w:val="1"/>
          <w:wAfter w:w="10" w:type="dxa"/>
          <w:trHeight w:val="2056"/>
        </w:trPr>
        <w:tc>
          <w:tcPr>
            <w:tcW w:w="675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68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поддержка населения,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нуждающегося в социальном обслуживании</w:t>
            </w:r>
          </w:p>
        </w:tc>
        <w:tc>
          <w:tcPr>
            <w:tcW w:w="7229" w:type="dxa"/>
          </w:tcPr>
          <w:p w:rsidR="00B04272" w:rsidRPr="003D17B4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7B4">
              <w:rPr>
                <w:rFonts w:ascii="Times New Roman" w:eastAsia="Times New Roman" w:hAnsi="Times New Roman" w:cs="Times New Roman"/>
                <w:lang w:eastAsia="ru-RU"/>
              </w:rPr>
              <w:t xml:space="preserve">1.1 Оказание финансовой помощи малоимущим гражданам,  нуждающимся в социальном обслуживании, в соответствии с Постановлением администрации ЧГО от </w:t>
            </w:r>
            <w:r w:rsidRPr="003D17B4">
              <w:rPr>
                <w:rFonts w:ascii="Times New Roman" w:hAnsi="Times New Roman"/>
              </w:rPr>
              <w:t xml:space="preserve"> 04   апреля 2017 г.  №  204 </w:t>
            </w:r>
            <w:r w:rsidRPr="003D17B4">
              <w:rPr>
                <w:rFonts w:ascii="Times New Roman" w:eastAsia="Times New Roman" w:hAnsi="Times New Roman" w:cs="Times New Roman"/>
                <w:lang w:eastAsia="ru-RU"/>
              </w:rPr>
              <w:t xml:space="preserve"> «О социальной комиссии МО «Чебаркульский городской округ»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7B4">
              <w:rPr>
                <w:rFonts w:ascii="Times New Roman" w:eastAsia="Times New Roman" w:hAnsi="Times New Roman" w:cs="Times New Roman"/>
                <w:lang w:eastAsia="ru-RU"/>
              </w:rPr>
              <w:t xml:space="preserve">1.2.Оказание натуральной помощи малоимущим гражданам,  нуждающимся в социальном обслуживании, в соответствии с Постановлением администрации ЧГО «О социальной комиссии МО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«Чебаркульский городской округ» </w:t>
            </w:r>
            <w:r w:rsidRPr="003D17B4">
              <w:rPr>
                <w:rFonts w:ascii="Times New Roman" w:eastAsia="Times New Roman" w:hAnsi="Times New Roman" w:cs="Times New Roman"/>
                <w:lang w:eastAsia="ru-RU"/>
              </w:rPr>
              <w:t>от 04   апреля 2017 г.  №  204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BF2">
              <w:rPr>
                <w:rFonts w:ascii="Times New Roman" w:eastAsia="Times New Roman" w:hAnsi="Times New Roman" w:cs="Times New Roman"/>
                <w:lang w:eastAsia="ru-RU"/>
              </w:rPr>
              <w:t>Доля  граждан, получивших  социальную помощь, от общего числа граждан, обратившихся за получением социальной помощи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87 %. </w:t>
            </w:r>
          </w:p>
        </w:tc>
        <w:tc>
          <w:tcPr>
            <w:tcW w:w="991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1440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УСЗН ЧГО  (КЦСОН ЧГО)</w:t>
            </w:r>
          </w:p>
        </w:tc>
      </w:tr>
      <w:tr w:rsidR="00B04272" w:rsidRPr="00B41CBE" w:rsidTr="007147E6">
        <w:trPr>
          <w:trHeight w:val="1561"/>
        </w:trPr>
        <w:tc>
          <w:tcPr>
            <w:tcW w:w="675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8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и акций, п</w:t>
            </w:r>
            <w:r w:rsidRPr="00B41CBE">
              <w:rPr>
                <w:rFonts w:ascii="Times New Roman" w:hAnsi="Times New Roman" w:cs="Times New Roman"/>
              </w:rPr>
              <w:t>освященных памятным датам, имеющих социальную направленность</w:t>
            </w:r>
          </w:p>
        </w:tc>
        <w:tc>
          <w:tcPr>
            <w:tcW w:w="7229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2.1. Организация и проведение городских акций, мероприятий, посвященных памятным датам, акций и меропр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иятий социальной направленности.</w:t>
            </w:r>
          </w:p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2.2.П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роведение поздравительных мероприятий для пожилых граждан, достигших возраста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90, 95, 100 лет, </w:t>
            </w:r>
            <w:r w:rsidRPr="0014445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Положением о </w:t>
            </w:r>
            <w:r w:rsidRPr="0014445B">
              <w:rPr>
                <w:rFonts w:ascii="Times New Roman" w:eastAsia="Times New Roman" w:hAnsi="Times New Roman" w:cs="Times New Roman"/>
                <w:lang w:eastAsia="ru-RU"/>
              </w:rPr>
              <w:t xml:space="preserve"> Порядке  поздрав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  <w:r w:rsidRPr="0014445B">
              <w:rPr>
                <w:rFonts w:ascii="Times New Roman" w:eastAsia="Times New Roman" w:hAnsi="Times New Roman" w:cs="Times New Roman"/>
                <w:lang w:eastAsia="ru-RU"/>
              </w:rPr>
              <w:t xml:space="preserve"> пожилых граждан, проживающих на территории Чебаркульского городского округа, в дни их рождения» в новой редакции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постановлением администрации ЧГО  от   13.02.2105 года № 167.</w:t>
            </w:r>
          </w:p>
        </w:tc>
        <w:tc>
          <w:tcPr>
            <w:tcW w:w="2694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857">
              <w:rPr>
                <w:rFonts w:ascii="Times New Roman" w:eastAsia="Times New Roman" w:hAnsi="Times New Roman" w:cs="Times New Roman"/>
                <w:lang w:eastAsia="ru-RU"/>
              </w:rPr>
              <w:t>Количество городских акций и мероприятий, посвященных памятным датам, акций и мероприятий социальной направленности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8 мероприятий.</w:t>
            </w:r>
          </w:p>
        </w:tc>
        <w:tc>
          <w:tcPr>
            <w:tcW w:w="991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1450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ЧГО, Администрация ЧГО, УК ЧГО.</w:t>
            </w:r>
          </w:p>
        </w:tc>
      </w:tr>
      <w:tr w:rsidR="00B04272" w:rsidRPr="00B41CBE" w:rsidTr="007147E6">
        <w:trPr>
          <w:trHeight w:val="445"/>
        </w:trPr>
        <w:tc>
          <w:tcPr>
            <w:tcW w:w="675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68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мер социальной поддержки гражданам пожилого возраста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ам 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категорий </w:t>
            </w:r>
          </w:p>
        </w:tc>
        <w:tc>
          <w:tcPr>
            <w:tcW w:w="7229" w:type="dxa"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41CBE">
              <w:rPr>
                <w:rFonts w:ascii="Times New Roman" w:hAnsi="Times New Roman" w:cs="Times New Roman"/>
                <w:lang w:eastAsia="ru-RU"/>
              </w:rPr>
              <w:t>3.1.Ежемесячная денежная выплата Почетным гражданам города в соответствии с Положением о звании «Почетный граждан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ин города Чебаркуля», утвержденного решением Собрания депутатов Чебаркульского городского округа  </w:t>
            </w:r>
            <w:r w:rsidRPr="00E40FA2">
              <w:rPr>
                <w:rFonts w:ascii="Times New Roman" w:hAnsi="Times New Roman" w:cs="Times New Roman"/>
                <w:lang w:eastAsia="ru-RU"/>
              </w:rPr>
              <w:t>от 04 августа 2015 года № 1005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41CBE">
              <w:rPr>
                <w:rFonts w:ascii="Times New Roman" w:hAnsi="Times New Roman" w:cs="Times New Roman"/>
                <w:lang w:eastAsia="ru-RU"/>
              </w:rPr>
              <w:t>3.2</w:t>
            </w:r>
            <w:r>
              <w:rPr>
                <w:rFonts w:ascii="Times New Roman" w:hAnsi="Times New Roman" w:cs="Times New Roman"/>
                <w:lang w:eastAsia="ru-RU"/>
              </w:rPr>
              <w:t>. Выплата пенсии за выслугу лет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лицам, замещавшим должности муниципальной службы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в соответствии с Положением о назначении и выплате пенсии за выслугу лет лицам, замещавшим муниципальные должности МО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«Чебаркульский городской округ», утвержденного решением Собрания депутатов Чебаркульского городского округа </w:t>
            </w:r>
            <w:r w:rsidRPr="000F2AEE">
              <w:rPr>
                <w:rFonts w:ascii="Times New Roman" w:hAnsi="Times New Roman" w:cs="Times New Roman"/>
                <w:lang w:eastAsia="ru-RU"/>
              </w:rPr>
              <w:t>от 10 января 2017 года № 253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41CBE">
              <w:rPr>
                <w:rFonts w:ascii="Times New Roman" w:hAnsi="Times New Roman" w:cs="Times New Roman"/>
                <w:lang w:eastAsia="ru-RU"/>
              </w:rPr>
              <w:t xml:space="preserve">3.3. </w:t>
            </w:r>
            <w:proofErr w:type="gramStart"/>
            <w:r w:rsidRPr="00B41CBE">
              <w:rPr>
                <w:rFonts w:ascii="Times New Roman" w:hAnsi="Times New Roman" w:cs="Times New Roman"/>
                <w:lang w:eastAsia="ru-RU"/>
              </w:rPr>
              <w:t>Ежемесячная доплата к страховой пенсии по ст</w:t>
            </w:r>
            <w:r>
              <w:rPr>
                <w:rFonts w:ascii="Times New Roman" w:hAnsi="Times New Roman" w:cs="Times New Roman"/>
                <w:lang w:eastAsia="ru-RU"/>
              </w:rPr>
              <w:t>арости (инвалидности) депутату</w:t>
            </w:r>
            <w:r w:rsidRPr="00B41CBE">
              <w:rPr>
                <w:rFonts w:ascii="Times New Roman" w:hAnsi="Times New Roman" w:cs="Times New Roman"/>
                <w:lang w:eastAsia="ru-RU"/>
              </w:rPr>
              <w:t>, члену выборного органа местного самоуправления, выборному должностному лицу местного самоуправления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B41CBE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B41CBE">
              <w:rPr>
                <w:rFonts w:ascii="Times New Roman" w:hAnsi="Times New Roman" w:cs="Times New Roman"/>
                <w:lang w:eastAsia="ru-RU"/>
              </w:rPr>
              <w:t>. досрочно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r w:rsidRPr="00B41CBE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соответствии с Законом Челябинской области «О гарантиях осуществления полномочий депутата, члена выборного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органа местного самоуправления», </w:t>
            </w:r>
            <w:r w:rsidRPr="00380822">
              <w:rPr>
                <w:rFonts w:ascii="Times New Roman" w:hAnsi="Times New Roman" w:cs="Times New Roman"/>
                <w:lang w:eastAsia="ru-RU"/>
              </w:rPr>
              <w:t>утвержденного решением Собрания депутатов Чебаркульского городского округа 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80822">
              <w:rPr>
                <w:rFonts w:ascii="Times New Roman" w:hAnsi="Times New Roman" w:cs="Times New Roman"/>
                <w:lang w:eastAsia="ru-RU"/>
              </w:rPr>
              <w:t xml:space="preserve"> 09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80822">
              <w:rPr>
                <w:rFonts w:ascii="Times New Roman" w:hAnsi="Times New Roman" w:cs="Times New Roman"/>
                <w:lang w:eastAsia="ru-RU"/>
              </w:rPr>
              <w:t xml:space="preserve"> марта 2017 года № 293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  <w:lang w:eastAsia="ru-RU"/>
              </w:rPr>
              <w:t xml:space="preserve">3.4. Предоставление гражданам субсидий на оплату жилого помещения и коммунальных услуг в соответствии </w:t>
            </w:r>
            <w:r>
              <w:rPr>
                <w:rFonts w:ascii="Times New Roman" w:hAnsi="Times New Roman" w:cs="Times New Roman"/>
                <w:lang w:eastAsia="ru-RU"/>
              </w:rPr>
              <w:t>Порядком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перечисления (выплаты, вручения) субсидий на оплату жилого помещения и коммунальных услуг получателям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субсидий в Челябинской области, утвержденного постановлением Правительства Челябинской области </w:t>
            </w:r>
            <w:r>
              <w:rPr>
                <w:rFonts w:ascii="Times New Roman" w:hAnsi="Times New Roman" w:cs="Times New Roman"/>
              </w:rPr>
              <w:t>от 06.07.2011 года  № 221-П.</w:t>
            </w:r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1CBE">
              <w:rPr>
                <w:rFonts w:ascii="Times New Roman" w:hAnsi="Times New Roman" w:cs="Times New Roman"/>
                <w:lang w:eastAsia="ru-RU"/>
              </w:rPr>
              <w:t>3.5.Предоставление отдельных мер социальной поддержки гражданам, подвергшимся воздействию радиации в соответствии с Постановлением Губернатора Челябинской области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25.07.2007 года  №  239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41CBE">
              <w:rPr>
                <w:rFonts w:ascii="Times New Roman" w:hAnsi="Times New Roman" w:cs="Times New Roman"/>
                <w:lang w:eastAsia="ru-RU"/>
              </w:rPr>
              <w:t>«Об установлении ежегодной денежной выплаты детям умерших участников ликвидации последствий катастрофы на Чернобыльской АЭС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</w:t>
            </w:r>
            <w:proofErr w:type="gramEnd"/>
            <w:r w:rsidRPr="00B41CBE">
              <w:rPr>
                <w:rFonts w:ascii="Times New Roman" w:hAnsi="Times New Roman" w:cs="Times New Roman"/>
                <w:lang w:eastAsia="ru-RU"/>
              </w:rPr>
              <w:t xml:space="preserve"> в реку Теча в Челябинской области»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3.6.Ежегодная денежная выплата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лицам, награжденным нагрудным знаком «Почетный донор России»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соответствии с 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Постановление</w:t>
            </w: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Правительства РФ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09.03.2013 года  №  197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  <w:r>
              <w:rPr>
                <w:rFonts w:ascii="Times New Roman" w:hAnsi="Times New Roman" w:cs="Times New Roman"/>
              </w:rPr>
              <w:t xml:space="preserve"> от 29.12.2004 года  № 188-ФЗ.</w:t>
            </w:r>
            <w:proofErr w:type="gramEnd"/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  <w:lang w:eastAsia="ru-RU"/>
              </w:rPr>
              <w:t>3.7. Оплата жилищно-коммунальных услуг отдельным категориям граждан в соот</w:t>
            </w:r>
            <w:r>
              <w:rPr>
                <w:rFonts w:ascii="Times New Roman" w:hAnsi="Times New Roman" w:cs="Times New Roman"/>
                <w:lang w:eastAsia="ru-RU"/>
              </w:rPr>
              <w:t>ветствии с Жилищным кодексом РФ</w:t>
            </w:r>
            <w:r>
              <w:rPr>
                <w:rFonts w:ascii="Times New Roman" w:hAnsi="Times New Roman" w:cs="Times New Roman"/>
              </w:rPr>
              <w:t xml:space="preserve"> от 29.12.2004  года  №  188-ФЗ.</w:t>
            </w:r>
          </w:p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  <w:lang w:eastAsia="ru-RU"/>
              </w:rPr>
              <w:t>3.8.Выплата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41CBE">
              <w:rPr>
                <w:rFonts w:ascii="Times New Roman" w:hAnsi="Times New Roman" w:cs="Times New Roman"/>
                <w:lang w:eastAsia="ru-RU"/>
              </w:rPr>
              <w:t>дств в с</w:t>
            </w:r>
            <w:proofErr w:type="gramEnd"/>
            <w:r w:rsidRPr="00B41CBE">
              <w:rPr>
                <w:rFonts w:ascii="Times New Roman" w:hAnsi="Times New Roman" w:cs="Times New Roman"/>
                <w:lang w:eastAsia="ru-RU"/>
              </w:rPr>
              <w:t xml:space="preserve">оответствии с </w:t>
            </w:r>
            <w:r w:rsidRPr="00B41CBE">
              <w:rPr>
                <w:rFonts w:ascii="Times New Roman" w:hAnsi="Times New Roman" w:cs="Times New Roman"/>
              </w:rPr>
              <w:t>Постановлением Правительства Челябинской области</w:t>
            </w:r>
            <w:r>
              <w:rPr>
                <w:rFonts w:ascii="Times New Roman" w:hAnsi="Times New Roman" w:cs="Times New Roman"/>
              </w:rPr>
              <w:t xml:space="preserve"> от 19.09.2012 года  № 497-П </w:t>
            </w:r>
            <w:r w:rsidRPr="00B41CBE">
              <w:rPr>
                <w:rFonts w:ascii="Times New Roman" w:hAnsi="Times New Roman" w:cs="Times New Roman"/>
              </w:rPr>
              <w:t>«О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</w:t>
            </w:r>
            <w:r>
              <w:rPr>
                <w:rFonts w:ascii="Times New Roman" w:hAnsi="Times New Roman" w:cs="Times New Roman"/>
              </w:rPr>
              <w:t xml:space="preserve"> средств в Челябинской области».</w:t>
            </w:r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</w:t>
            </w:r>
            <w:r w:rsidRPr="00B41CBE">
              <w:rPr>
                <w:rFonts w:ascii="Times New Roman" w:hAnsi="Times New Roman" w:cs="Times New Roman"/>
              </w:rPr>
              <w:t>.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B41CBE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ом</w:t>
            </w:r>
            <w:r w:rsidRPr="00B41CBE">
              <w:rPr>
                <w:rFonts w:ascii="Times New Roman" w:hAnsi="Times New Roman" w:cs="Times New Roman"/>
              </w:rPr>
              <w:t xml:space="preserve"> Челябинской области  </w:t>
            </w:r>
            <w:r w:rsidRPr="00B41CBE">
              <w:rPr>
                <w:rFonts w:ascii="Times New Roman" w:hAnsi="Times New Roman" w:cs="Times New Roman"/>
              </w:rPr>
              <w:lastRenderedPageBreak/>
              <w:t>«О возмещении стоимости услуг по погребению и выплате с</w:t>
            </w:r>
            <w:r>
              <w:rPr>
                <w:rFonts w:ascii="Times New Roman" w:hAnsi="Times New Roman" w:cs="Times New Roman"/>
              </w:rPr>
              <w:t>оциального пособия на погребение» от 27.10.2005 года   №  410-ЗО.</w:t>
            </w:r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10</w:t>
            </w:r>
            <w:r w:rsidRPr="00B41CBE">
              <w:rPr>
                <w:rFonts w:ascii="Times New Roman" w:hAnsi="Times New Roman" w:cs="Times New Roman"/>
              </w:rPr>
              <w:t>.</w:t>
            </w:r>
            <w:r w:rsidRPr="00B41CBE">
              <w:rPr>
                <w:rFonts w:ascii="Times New Roman" w:hAnsi="Times New Roman" w:cs="Times New Roman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</w:t>
            </w:r>
            <w:r>
              <w:rPr>
                <w:rFonts w:ascii="Times New Roman" w:hAnsi="Times New Roman" w:cs="Times New Roman"/>
                <w:lang w:eastAsia="ru-RU"/>
              </w:rPr>
              <w:t>етеранов в Челябинской области»</w:t>
            </w:r>
            <w:r>
              <w:rPr>
                <w:rFonts w:ascii="Times New Roman" w:hAnsi="Times New Roman" w:cs="Times New Roman"/>
              </w:rPr>
              <w:t xml:space="preserve"> 30.11.2004 года  № 327-ЗО.</w:t>
            </w:r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Pr="00B41CBE">
              <w:rPr>
                <w:rFonts w:ascii="Times New Roman" w:hAnsi="Times New Roman" w:cs="Times New Roman"/>
                <w:lang w:eastAsia="ru-RU"/>
              </w:rPr>
              <w:t>.Ежемесячная денежная выплата в соответствии с Законом Челябинской области «О мерах социальной поддержки жертв политических р</w:t>
            </w:r>
            <w:r>
              <w:rPr>
                <w:rFonts w:ascii="Times New Roman" w:hAnsi="Times New Roman" w:cs="Times New Roman"/>
                <w:lang w:eastAsia="ru-RU"/>
              </w:rPr>
              <w:t>епрессий в Челябинской области»</w:t>
            </w:r>
            <w:r>
              <w:rPr>
                <w:rFonts w:ascii="Times New Roman" w:hAnsi="Times New Roman" w:cs="Times New Roman"/>
              </w:rPr>
              <w:t xml:space="preserve"> от 28.10.2004 года  № 282-ЗО.</w:t>
            </w:r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Pr="00B41CBE">
              <w:rPr>
                <w:rFonts w:ascii="Times New Roman" w:hAnsi="Times New Roman" w:cs="Times New Roman"/>
                <w:lang w:eastAsia="ru-RU"/>
              </w:rPr>
              <w:t>.Ежемесячная денежная выплата в соответствии с Законом Челябинской области «О звании «Ветеран труда Челябинской обла</w:t>
            </w:r>
            <w:r>
              <w:rPr>
                <w:rFonts w:ascii="Times New Roman" w:hAnsi="Times New Roman" w:cs="Times New Roman"/>
                <w:lang w:eastAsia="ru-RU"/>
              </w:rPr>
              <w:t>сти»</w:t>
            </w:r>
            <w:r>
              <w:rPr>
                <w:rFonts w:ascii="Times New Roman" w:hAnsi="Times New Roman" w:cs="Times New Roman"/>
              </w:rPr>
              <w:t xml:space="preserve"> от 29.11.2007 года  №  220-ЗО.</w:t>
            </w:r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Pr="00B41CBE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41CBE">
              <w:rPr>
                <w:rFonts w:ascii="Times New Roman" w:hAnsi="Times New Roman" w:cs="Times New Roman"/>
                <w:lang w:eastAsia="ru-RU"/>
              </w:rPr>
              <w:t>Компенсация расходов на оплату жилых помещений и коммунальных услуг в соответстви</w:t>
            </w:r>
            <w:r>
              <w:rPr>
                <w:rFonts w:ascii="Times New Roman" w:hAnsi="Times New Roman" w:cs="Times New Roman"/>
                <w:lang w:eastAsia="ru-RU"/>
              </w:rPr>
              <w:t>и с Законом Челябинской области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14.02.1996 года  №  16-ОЗ «О дополнительных мерах социальной поддержки отдельных категорий граждан в Челябинской области».</w:t>
            </w:r>
          </w:p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41CBE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.Компенсационные выплаты за пользование услугами связи в соответствии с Законом Челябинской области </w:t>
            </w:r>
            <w:r>
              <w:rPr>
                <w:rFonts w:ascii="Times New Roman" w:hAnsi="Times New Roman" w:cs="Times New Roman"/>
              </w:rPr>
              <w:t xml:space="preserve">14.02.1996 года  №  16-ОЗ </w:t>
            </w:r>
            <w:r w:rsidRPr="00B41CBE">
              <w:rPr>
                <w:rFonts w:ascii="Times New Roman" w:hAnsi="Times New Roman" w:cs="Times New Roman"/>
                <w:lang w:eastAsia="ru-RU"/>
              </w:rPr>
              <w:t>«О дополнительных мерах социальной защиты в</w:t>
            </w:r>
            <w:r>
              <w:rPr>
                <w:rFonts w:ascii="Times New Roman" w:hAnsi="Times New Roman" w:cs="Times New Roman"/>
                <w:lang w:eastAsia="ru-RU"/>
              </w:rPr>
              <w:t>етеранов в Челябинской области».</w:t>
            </w:r>
          </w:p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>15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.Компенсация расходов на уплату взноса на капитальный ремонт общего имущества в многоквартирном доме в соответствии с </w:t>
            </w:r>
            <w:r w:rsidRPr="00B41CBE">
              <w:rPr>
                <w:rFonts w:ascii="Times New Roman" w:hAnsi="Times New Roman" w:cs="Times New Roman"/>
              </w:rPr>
              <w:t>Постановлением Правительства Челябинской области</w:t>
            </w:r>
            <w:r>
              <w:rPr>
                <w:rFonts w:ascii="Times New Roman" w:hAnsi="Times New Roman" w:cs="Times New Roman"/>
              </w:rPr>
              <w:t xml:space="preserve"> от 16.02.2016 года №  59-П </w:t>
            </w:r>
            <w:r w:rsidRPr="00B41CBE">
              <w:rPr>
                <w:rFonts w:ascii="Times New Roman" w:hAnsi="Times New Roman" w:cs="Times New Roman"/>
              </w:rPr>
              <w:t>«О Порядке и условиях предоставления компенсации расходов на уплату взноса на капитальный ремонт общего имущества в многоквартирном дом</w:t>
            </w:r>
            <w:r>
              <w:rPr>
                <w:rFonts w:ascii="Times New Roman" w:hAnsi="Times New Roman" w:cs="Times New Roman"/>
              </w:rPr>
              <w:t>е отдельным категориям граждан».</w:t>
            </w:r>
          </w:p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1CB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16</w:t>
            </w:r>
            <w:r w:rsidRPr="00B41CBE">
              <w:rPr>
                <w:rFonts w:ascii="Times New Roman" w:hAnsi="Times New Roman" w:cs="Times New Roman"/>
              </w:rPr>
              <w:t xml:space="preserve">.Ежемесячная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постановлением Правительства Челябинской области </w:t>
            </w:r>
            <w:r>
              <w:rPr>
                <w:rFonts w:ascii="Times New Roman" w:hAnsi="Times New Roman" w:cs="Times New Roman"/>
              </w:rPr>
              <w:t>14.09.2016 года  №  483-П</w:t>
            </w:r>
            <w:r w:rsidRPr="00B41CBE">
              <w:rPr>
                <w:rFonts w:ascii="Times New Roman" w:hAnsi="Times New Roman" w:cs="Times New Roman"/>
              </w:rPr>
              <w:t xml:space="preserve"> «О Порядке возмещения детям погибших участников Великой Отечественной войны и приравненным к ним лицам  расходов на проезд к </w:t>
            </w:r>
            <w:r>
              <w:rPr>
                <w:rFonts w:ascii="Times New Roman" w:hAnsi="Times New Roman" w:cs="Times New Roman"/>
              </w:rPr>
              <w:t>месту захоронения отца (матери).</w:t>
            </w:r>
            <w:proofErr w:type="gramEnd"/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7</w:t>
            </w:r>
            <w:r w:rsidRPr="00B41CBE">
              <w:rPr>
                <w:rFonts w:ascii="Times New Roman" w:hAnsi="Times New Roman" w:cs="Times New Roman"/>
              </w:rPr>
              <w:t>.</w:t>
            </w:r>
            <w:r w:rsidRPr="00B41CBE">
              <w:rPr>
                <w:rFonts w:ascii="Times New Roman" w:hAnsi="Times New Roman" w:cs="Times New Roman"/>
                <w:lang w:eastAsia="ru-RU"/>
              </w:rPr>
              <w:t>Адресная субсидия гражданам в связи с рост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ом платы за коммунальные услуги в соответствии с  </w:t>
            </w:r>
            <w:r>
              <w:rPr>
                <w:rFonts w:ascii="Times New Roman" w:hAnsi="Times New Roman" w:cs="Times New Roman"/>
              </w:rPr>
              <w:t>Закон Челябинской области от 30.06.2016 года  №  374-ЗО «О предоставлении гражданам адресной субсидии в связи с ростом платы за коммунальные услуги».</w:t>
            </w:r>
          </w:p>
          <w:p w:rsidR="00B04272" w:rsidRPr="00CF79C6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F79C6">
              <w:rPr>
                <w:rFonts w:ascii="Times New Roman" w:hAnsi="Times New Roman" w:cs="Times New Roman"/>
                <w:lang w:eastAsia="ru-RU"/>
              </w:rPr>
              <w:t>3. 18.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F79C6">
              <w:rPr>
                <w:rFonts w:ascii="Times New Roman" w:hAnsi="Times New Roman" w:cs="Times New Roman"/>
                <w:lang w:eastAsia="ru-RU"/>
              </w:rPr>
              <w:t>Оплата расходов на обеспечен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ие деятельности отдела субсидий, в соответствии  с Положением об Управлении социальной защиты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Чебаркульского городского округа, утвержденного постановлением администрации Чебаркульского городского округа от 27.01.2010 года                 № 38.</w:t>
            </w:r>
          </w:p>
          <w:p w:rsidR="00B04272" w:rsidRPr="00CF79C6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41CB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19</w:t>
            </w:r>
            <w:r w:rsidRPr="00B41C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1CBE">
              <w:rPr>
                <w:rFonts w:ascii="Times New Roman" w:hAnsi="Times New Roman" w:cs="Times New Roman"/>
              </w:rPr>
              <w:t>Расходы на организацию работы УСЗН ЧГО (в том числе налог на имущество, транспортный, земельный)</w:t>
            </w:r>
            <w:r>
              <w:rPr>
                <w:rFonts w:ascii="Times New Roman" w:hAnsi="Times New Roman" w:cs="Times New Roman"/>
              </w:rPr>
              <w:t xml:space="preserve">, в соответствии </w:t>
            </w:r>
            <w:r>
              <w:rPr>
                <w:rFonts w:ascii="Times New Roman" w:hAnsi="Times New Roman" w:cs="Times New Roman"/>
                <w:lang w:eastAsia="ru-RU"/>
              </w:rPr>
              <w:t>с Положением об Управлении социальной защиты Чебаркульского городского округа, утвержденного постановлением администрации Чебаркульского городского округа от 27.01.2010 года № 38.</w:t>
            </w:r>
          </w:p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3.20. </w:t>
            </w:r>
          </w:p>
        </w:tc>
        <w:tc>
          <w:tcPr>
            <w:tcW w:w="2694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6F5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Доля пожилых граждан и граждан  других категорий, которым оказаны меры социальной поддержки от общего числа пожилых граждан и граждан других категорий, обратившихся за мерами социальной поддержки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,100%.</w:t>
            </w:r>
          </w:p>
        </w:tc>
        <w:tc>
          <w:tcPr>
            <w:tcW w:w="991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1450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ЧГО, КЦ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СОН ЧГО.</w:t>
            </w:r>
          </w:p>
        </w:tc>
      </w:tr>
      <w:tr w:rsidR="00B04272" w:rsidRPr="00B41CBE" w:rsidTr="007147E6">
        <w:trPr>
          <w:trHeight w:val="368"/>
        </w:trPr>
        <w:tc>
          <w:tcPr>
            <w:tcW w:w="675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gridSpan w:val="2"/>
          </w:tcPr>
          <w:p w:rsidR="00B04272" w:rsidRPr="00D10180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180">
              <w:rPr>
                <w:rFonts w:ascii="Times New Roman" w:eastAsia="Times New Roman" w:hAnsi="Times New Roman" w:cs="Times New Roman"/>
                <w:lang w:eastAsia="ru-RU"/>
              </w:rPr>
              <w:t>Предоставление срочны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D10180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D10180">
              <w:rPr>
                <w:rFonts w:ascii="Times New Roman" w:eastAsia="Times New Roman" w:hAnsi="Times New Roman" w:cs="Times New Roman"/>
                <w:lang w:eastAsia="ru-RU"/>
              </w:rPr>
              <w:t xml:space="preserve"> услуг, социальны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D10180">
              <w:rPr>
                <w:rFonts w:ascii="Times New Roman" w:eastAsia="Times New Roman" w:hAnsi="Times New Roman" w:cs="Times New Roman"/>
                <w:lang w:eastAsia="ru-RU"/>
              </w:rPr>
              <w:t xml:space="preserve"> услуг в форме социального обслуживания на дому, в полустационарной 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 условиях дневного пребывания (в том числе содержание учреждения).</w:t>
            </w:r>
          </w:p>
        </w:tc>
        <w:tc>
          <w:tcPr>
            <w:tcW w:w="7229" w:type="dxa"/>
          </w:tcPr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Pr="00B41CBE">
              <w:rPr>
                <w:rFonts w:ascii="Times New Roman" w:hAnsi="Times New Roman" w:cs="Times New Roman"/>
                <w:bCs/>
              </w:rPr>
              <w:t>Предоста</w:t>
            </w:r>
            <w:r>
              <w:rPr>
                <w:rFonts w:ascii="Times New Roman" w:hAnsi="Times New Roman" w:cs="Times New Roman"/>
                <w:bCs/>
              </w:rPr>
              <w:t xml:space="preserve">вление срочных социальных услуг, в соответствии 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546-П.</w:t>
            </w:r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  <w:bCs/>
              </w:rPr>
              <w:t>4.2.</w:t>
            </w:r>
            <w:r w:rsidRPr="00B41CBE">
              <w:rPr>
                <w:rFonts w:ascii="Times New Roman" w:hAnsi="Times New Roman" w:cs="Times New Roman"/>
              </w:rPr>
              <w:t>Предоставление социальных услуг в форме с</w:t>
            </w:r>
            <w:r>
              <w:rPr>
                <w:rFonts w:ascii="Times New Roman" w:hAnsi="Times New Roman" w:cs="Times New Roman"/>
              </w:rPr>
              <w:t xml:space="preserve">оциального обслуживания на дому, </w:t>
            </w:r>
            <w:r>
              <w:rPr>
                <w:rFonts w:ascii="Times New Roman" w:hAnsi="Times New Roman" w:cs="Times New Roman"/>
                <w:bCs/>
              </w:rPr>
              <w:t xml:space="preserve">в соответствии  с  </w:t>
            </w:r>
            <w:r>
              <w:rPr>
                <w:rFonts w:ascii="Times New Roman" w:hAnsi="Times New Roman" w:cs="Times New Roman"/>
              </w:rPr>
              <w:t xml:space="preserve"> 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546-П.</w:t>
            </w:r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</w:rPr>
              <w:t>4.3.Предоставле</w:t>
            </w:r>
            <w:r>
              <w:rPr>
                <w:rFonts w:ascii="Times New Roman" w:hAnsi="Times New Roman" w:cs="Times New Roman"/>
              </w:rPr>
              <w:t>н</w:t>
            </w:r>
            <w:r w:rsidRPr="00B41CBE">
              <w:rPr>
                <w:rFonts w:ascii="Times New Roman" w:hAnsi="Times New Roman" w:cs="Times New Roman"/>
              </w:rPr>
              <w:t>ие социальных услуг в полустационарной форме</w:t>
            </w:r>
            <w:r>
              <w:rPr>
                <w:rFonts w:ascii="Times New Roman" w:hAnsi="Times New Roman" w:cs="Times New Roman"/>
              </w:rPr>
              <w:t xml:space="preserve"> в условиях дневного пребывания, </w:t>
            </w:r>
            <w:r>
              <w:rPr>
                <w:rFonts w:ascii="Times New Roman" w:hAnsi="Times New Roman" w:cs="Times New Roman"/>
                <w:bCs/>
              </w:rPr>
              <w:t xml:space="preserve">в соответствии  с  </w:t>
            </w:r>
            <w:r>
              <w:rPr>
                <w:rFonts w:ascii="Times New Roman" w:hAnsi="Times New Roman" w:cs="Times New Roman"/>
              </w:rPr>
              <w:t>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546-П.</w:t>
            </w:r>
          </w:p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4.4. 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B41CBE">
              <w:rPr>
                <w:rFonts w:ascii="Times New Roman" w:hAnsi="Times New Roman"/>
                <w:lang w:eastAsia="ru-RU"/>
              </w:rPr>
              <w:t xml:space="preserve">одержание учреждения, оплата труда работников учреждения </w:t>
            </w:r>
            <w:r>
              <w:rPr>
                <w:rFonts w:ascii="Times New Roman" w:hAnsi="Times New Roman"/>
                <w:lang w:eastAsia="ru-RU"/>
              </w:rPr>
              <w:t xml:space="preserve">                КЦ</w:t>
            </w:r>
            <w:r w:rsidRPr="00B41CBE">
              <w:rPr>
                <w:rFonts w:ascii="Times New Roman" w:hAnsi="Times New Roman"/>
                <w:lang w:eastAsia="ru-RU"/>
              </w:rPr>
              <w:t>СОН</w:t>
            </w:r>
            <w:r>
              <w:rPr>
                <w:rFonts w:ascii="Times New Roman" w:hAnsi="Times New Roman"/>
                <w:lang w:eastAsia="ru-RU"/>
              </w:rPr>
              <w:t>, в соответствии с Уставом  Комплексного центра социального обслуживания Чебаркульского городского округа,  утвержденного Администрацией Чебаркульского городского округа от 26 июля 2006 года.</w:t>
            </w:r>
          </w:p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B04272" w:rsidRPr="005D6AE1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B93">
              <w:rPr>
                <w:rFonts w:ascii="Times New Roman" w:eastAsia="Times New Roman" w:hAnsi="Times New Roman" w:cs="Times New Roman"/>
                <w:lang w:eastAsia="ru-RU"/>
              </w:rPr>
              <w:t>Доля граждан,  получивших  срочные социальные услуги, социальные услуги в форме социального обслуживания на дому, в полустационарной форме  в условиях дневного пребывания, в общем числе граждан, обратившихся за предоставлением  срочных социальных услуг, социальных услуг в форме социального обслуживания на дому, в полустационарной форме  в условиях дневного пребывания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100%.</w:t>
            </w:r>
          </w:p>
        </w:tc>
        <w:tc>
          <w:tcPr>
            <w:tcW w:w="991" w:type="dxa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1450" w:type="dxa"/>
            <w:gridSpan w:val="2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ЧГО,</w:t>
            </w:r>
          </w:p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КЦСОН ЧГО</w:t>
            </w:r>
          </w:p>
        </w:tc>
      </w:tr>
    </w:tbl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Pr="00FE48E9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E9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1276"/>
        <w:gridCol w:w="1701"/>
        <w:gridCol w:w="2409"/>
        <w:gridCol w:w="2747"/>
        <w:gridCol w:w="2640"/>
        <w:gridCol w:w="1001"/>
        <w:gridCol w:w="1692"/>
      </w:tblGrid>
      <w:tr w:rsidR="00B04272" w:rsidRPr="00FE48E9" w:rsidTr="007147E6">
        <w:tc>
          <w:tcPr>
            <w:tcW w:w="594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9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змер</w:t>
            </w:r>
            <w:proofErr w:type="spell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2409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747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640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001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сбора информации и индекс формы </w:t>
            </w: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отчетности </w:t>
            </w:r>
          </w:p>
        </w:tc>
        <w:tc>
          <w:tcPr>
            <w:tcW w:w="1692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Ответственный за сбор данных по целевому показателю</w:t>
            </w:r>
            <w:proofErr w:type="gramEnd"/>
          </w:p>
        </w:tc>
      </w:tr>
      <w:tr w:rsidR="00B04272" w:rsidRPr="00FE48E9" w:rsidTr="007147E6">
        <w:tc>
          <w:tcPr>
            <w:tcW w:w="594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99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Доля 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1276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Доля 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2409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2017-87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2018-87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2019-87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2020-87</w:t>
            </w:r>
          </w:p>
        </w:tc>
        <w:tc>
          <w:tcPr>
            <w:tcW w:w="2747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640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граждан, получивших  социальную помощь,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 граждан, обратившихся за получением социальной помощи</w:t>
            </w:r>
          </w:p>
        </w:tc>
        <w:tc>
          <w:tcPr>
            <w:tcW w:w="1001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Отчетность КЦСОН ЧГО</w:t>
            </w:r>
          </w:p>
        </w:tc>
        <w:tc>
          <w:tcPr>
            <w:tcW w:w="1692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B04272" w:rsidRPr="00FE48E9" w:rsidTr="007147E6">
        <w:tc>
          <w:tcPr>
            <w:tcW w:w="594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9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городских акций и мероприятий, посвященных памятным датам, акций и мероприятий социальной направленности</w:t>
            </w:r>
          </w:p>
        </w:tc>
        <w:tc>
          <w:tcPr>
            <w:tcW w:w="1276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городских акций и мероприятий, посвященных памятным датам, акций и мероприятий социальной направленности</w:t>
            </w:r>
          </w:p>
        </w:tc>
        <w:tc>
          <w:tcPr>
            <w:tcW w:w="2409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2017-8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2018-8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2019-8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2020-8</w:t>
            </w:r>
          </w:p>
        </w:tc>
        <w:tc>
          <w:tcPr>
            <w:tcW w:w="2747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640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001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УСЗН </w:t>
            </w:r>
          </w:p>
        </w:tc>
        <w:tc>
          <w:tcPr>
            <w:tcW w:w="1692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B04272" w:rsidRPr="00FE48E9" w:rsidTr="007147E6">
        <w:trPr>
          <w:trHeight w:val="2741"/>
        </w:trPr>
        <w:tc>
          <w:tcPr>
            <w:tcW w:w="594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99" w:type="dxa"/>
          </w:tcPr>
          <w:p w:rsidR="00B04272" w:rsidRPr="00FE48E9" w:rsidRDefault="00B04272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E9">
              <w:rPr>
                <w:rFonts w:ascii="Times New Roman" w:hAnsi="Times New Roman" w:cs="Times New Roman"/>
                <w:sz w:val="24"/>
                <w:szCs w:val="24"/>
              </w:rPr>
              <w:t>Доля пожилых граждан и</w:t>
            </w:r>
            <w:r w:rsidRPr="00FE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 других категорий, которым оказаны меры социальной поддержки от общего числа пожилых граждан и граждан других категорий, обратившихся за мерами социальной поддержки   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B04272" w:rsidRPr="00FE48E9" w:rsidRDefault="00B04272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E9">
              <w:rPr>
                <w:rFonts w:ascii="Times New Roman" w:hAnsi="Times New Roman" w:cs="Times New Roman"/>
                <w:sz w:val="24"/>
                <w:szCs w:val="24"/>
              </w:rPr>
              <w:t>Доля пожилых граждан и</w:t>
            </w:r>
            <w:r w:rsidRPr="00FE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 других категорий, которым оказаны меры социальной поддержки от общего числа пожилых граждан и граждан других категорий, обратившихся за мерами социальной поддержки   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2017-100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2018-100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2019-100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2020-100</w:t>
            </w:r>
          </w:p>
        </w:tc>
        <w:tc>
          <w:tcPr>
            <w:tcW w:w="2747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E48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пожилых граждан и</w:t>
            </w:r>
            <w:r w:rsidRPr="00FE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 других категорий, которым оказаны меры социальной поддержки</w:t>
            </w: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</w:t>
            </w:r>
            <w:r w:rsidRPr="00FE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пожилых граждан и граждан других категорий, обратившихся за мерами социальной поддержки   </w:t>
            </w: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Default="00B04272" w:rsidP="00714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B04272" w:rsidRPr="00FE48E9" w:rsidRDefault="00B04272" w:rsidP="00714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B04272" w:rsidRPr="00FE48E9" w:rsidTr="007147E6">
        <w:trPr>
          <w:trHeight w:val="2741"/>
        </w:trPr>
        <w:tc>
          <w:tcPr>
            <w:tcW w:w="594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9" w:type="dxa"/>
          </w:tcPr>
          <w:p w:rsidR="00B04272" w:rsidRPr="00FE48E9" w:rsidRDefault="00B04272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5">
              <w:rPr>
                <w:rFonts w:ascii="Times New Roman" w:hAnsi="Times New Roman" w:cs="Times New Roman"/>
                <w:sz w:val="24"/>
                <w:szCs w:val="24"/>
              </w:rPr>
              <w:t>Доля граждан,  получивших  срочные социальные услуги, социальные услуги в форме социального обслуживан</w:t>
            </w:r>
            <w:r w:rsidRPr="009E2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на дому, в полустационарной форме  в условиях дневного пребывания, в общем числе граждан, обратившихся за предоставлением  срочных социальных услуг, социальных услуг в форме социального обслуживания на дому, в полустационарной форме  в условиях дневного пребывания</w:t>
            </w:r>
          </w:p>
        </w:tc>
        <w:tc>
          <w:tcPr>
            <w:tcW w:w="1276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</w:tcPr>
          <w:p w:rsidR="00B04272" w:rsidRPr="00FE48E9" w:rsidRDefault="00B04272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E9">
              <w:rPr>
                <w:rFonts w:ascii="Times New Roman" w:hAnsi="Times New Roman" w:cs="Times New Roman"/>
                <w:sz w:val="24"/>
                <w:szCs w:val="24"/>
              </w:rPr>
              <w:t>Доля пожилых граждан и</w:t>
            </w:r>
            <w:r w:rsidRPr="00FE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 других категорий, которым оказаны меры социальной поддержки от общего числа пожилых </w:t>
            </w:r>
            <w:r w:rsidRPr="00FE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 и граждан других категорий, обратившихся за мерами социальной поддержки   </w:t>
            </w:r>
          </w:p>
          <w:p w:rsidR="00B04272" w:rsidRPr="00FE48E9" w:rsidRDefault="00B04272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2017-100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2018-100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2019-100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2020-100</w:t>
            </w:r>
          </w:p>
        </w:tc>
        <w:tc>
          <w:tcPr>
            <w:tcW w:w="2747" w:type="dxa"/>
          </w:tcPr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B04272" w:rsidRPr="00FE48E9" w:rsidRDefault="00B04272" w:rsidP="007147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E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E2A55">
              <w:rPr>
                <w:rFonts w:ascii="Times New Roman" w:hAnsi="Times New Roman" w:cs="Times New Roman"/>
                <w:sz w:val="24"/>
                <w:szCs w:val="24"/>
              </w:rPr>
              <w:t>граждан,  получивших  срочные социальные услуги, социальные услуги в форме социального обслуживания на дому, в полустационарной форме  в условиях дневного пребывания</w:t>
            </w:r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 </w:t>
            </w:r>
            <w:r w:rsidRPr="009E2A55">
              <w:rPr>
                <w:rFonts w:ascii="Times New Roman" w:hAnsi="Times New Roman" w:cs="Times New Roman"/>
                <w:sz w:val="24"/>
                <w:szCs w:val="24"/>
              </w:rPr>
              <w:t>обратившихся за предоставлением  срочных социальных услуг, социальных услуг в форме социального обслуживания на дому, в полустационарной форме  в условиях дневного пребывания</w:t>
            </w:r>
          </w:p>
        </w:tc>
        <w:tc>
          <w:tcPr>
            <w:tcW w:w="1001" w:type="dxa"/>
          </w:tcPr>
          <w:p w:rsidR="00B04272" w:rsidRDefault="00B04272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Статотче</w:t>
            </w:r>
            <w:proofErr w:type="spellEnd"/>
          </w:p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692" w:type="dxa"/>
          </w:tcPr>
          <w:p w:rsidR="00B04272" w:rsidRPr="00FE48E9" w:rsidRDefault="00B04272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E9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</w:tbl>
    <w:p w:rsidR="00B04272" w:rsidRPr="00FE48E9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04272" w:rsidRPr="00FE48E9" w:rsidSect="000E3D7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«Ресурсное обеспечение муниципальной программы».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городского округа на 2018 год и плановый период 2019 и 2020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финансирование муниципальной программы состоит:</w:t>
      </w:r>
    </w:p>
    <w:p w:rsidR="00B04272" w:rsidRPr="00B30DD6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средств бюджета Чебаркульского городского округа в </w:t>
      </w:r>
      <w:r w:rsidRPr="00B3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29 370 900</w:t>
      </w:r>
      <w:r w:rsidRPr="00B30DD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рублей, в том числе, по годам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04272" w:rsidRPr="00B30DD6" w:rsidRDefault="00B04272" w:rsidP="00B04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 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4C1E1E">
        <w:rPr>
          <w:rFonts w:ascii="Times New Roman" w:eastAsia="Times New Roman" w:hAnsi="Times New Roman" w:cs="Times New Roman"/>
          <w:sz w:val="28"/>
          <w:szCs w:val="28"/>
          <w:lang w:eastAsia="ru-RU"/>
        </w:rPr>
        <w:t>9 790 300</w:t>
      </w:r>
      <w:r w:rsidRPr="004C1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руб.</w:t>
      </w:r>
    </w:p>
    <w:p w:rsidR="00B04272" w:rsidRPr="00B30DD6" w:rsidRDefault="00B04272" w:rsidP="00B04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 – </w:t>
      </w:r>
      <w:r w:rsidRPr="004C1E1E">
        <w:rPr>
          <w:rFonts w:ascii="Times New Roman" w:eastAsia="Times New Roman" w:hAnsi="Times New Roman" w:cs="Times New Roman"/>
          <w:sz w:val="28"/>
          <w:szCs w:val="28"/>
          <w:lang w:eastAsia="ru-RU"/>
        </w:rPr>
        <w:t>9 790 300</w:t>
      </w:r>
      <w:r w:rsidRPr="004C1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B04272" w:rsidRPr="00B30DD6" w:rsidRDefault="00B04272" w:rsidP="00B04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год – </w:t>
      </w:r>
      <w:r w:rsidRPr="004C1E1E">
        <w:rPr>
          <w:rFonts w:ascii="Times New Roman" w:eastAsia="Times New Roman" w:hAnsi="Times New Roman" w:cs="Times New Roman"/>
          <w:sz w:val="28"/>
          <w:szCs w:val="28"/>
          <w:lang w:eastAsia="ru-RU"/>
        </w:rPr>
        <w:t>9 790 300</w:t>
      </w:r>
      <w:r w:rsidRPr="004C1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B04272" w:rsidRPr="00B30DD6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бюджета Челябинской области  в</w:t>
      </w:r>
      <w:r w:rsidRPr="00B3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размере  444 241 500,00  </w:t>
      </w:r>
      <w:r w:rsidRPr="00B30D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числе, по годам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4272" w:rsidRPr="00B30DD6" w:rsidRDefault="00B04272" w:rsidP="00B04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 </w:t>
      </w:r>
      <w:r w:rsidRPr="0088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884152">
        <w:rPr>
          <w:rFonts w:ascii="Times New Roman" w:eastAsia="Times New Roman" w:hAnsi="Times New Roman" w:cs="Times New Roman"/>
          <w:sz w:val="28"/>
          <w:szCs w:val="28"/>
          <w:lang w:eastAsia="ru-RU"/>
        </w:rPr>
        <w:t>146 883 800,00</w:t>
      </w:r>
      <w:r w:rsidRPr="0088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4272" w:rsidRPr="00B30DD6" w:rsidRDefault="00B04272" w:rsidP="00B04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 – 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437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00,00 руб.</w:t>
      </w:r>
    </w:p>
    <w:p w:rsidR="00B04272" w:rsidRPr="00B30DD6" w:rsidRDefault="00B04272" w:rsidP="00B04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920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3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00,00 руб.</w:t>
      </w:r>
    </w:p>
    <w:p w:rsidR="00B04272" w:rsidRDefault="00B04272" w:rsidP="00B04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272" w:rsidRPr="00695B63" w:rsidRDefault="00B04272" w:rsidP="00B0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0"/>
        <w:tblW w:w="15280" w:type="dxa"/>
        <w:tblLayout w:type="fixed"/>
        <w:tblLook w:val="04A0" w:firstRow="1" w:lastRow="0" w:firstColumn="1" w:lastColumn="0" w:noHBand="0" w:noVBand="1"/>
      </w:tblPr>
      <w:tblGrid>
        <w:gridCol w:w="505"/>
        <w:gridCol w:w="3429"/>
        <w:gridCol w:w="1417"/>
        <w:gridCol w:w="2697"/>
        <w:gridCol w:w="2117"/>
        <w:gridCol w:w="1709"/>
        <w:gridCol w:w="1705"/>
        <w:gridCol w:w="1701"/>
      </w:tblGrid>
      <w:tr w:rsidR="00B04272" w:rsidRPr="00B41CBE" w:rsidTr="007147E6">
        <w:trPr>
          <w:trHeight w:val="444"/>
        </w:trPr>
        <w:tc>
          <w:tcPr>
            <w:tcW w:w="505" w:type="dxa"/>
            <w:vMerge w:val="restart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29" w:type="dxa"/>
            <w:vMerge w:val="restart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97" w:type="dxa"/>
            <w:vMerge w:val="restart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117" w:type="dxa"/>
            <w:vMerge w:val="restart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5115" w:type="dxa"/>
            <w:gridSpan w:val="3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</w:tc>
      </w:tr>
      <w:tr w:rsidR="00B04272" w:rsidRPr="00B41CBE" w:rsidTr="007147E6">
        <w:trPr>
          <w:trHeight w:val="570"/>
        </w:trPr>
        <w:tc>
          <w:tcPr>
            <w:tcW w:w="505" w:type="dxa"/>
            <w:vMerge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Merge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beforeAutospacing="1" w:after="2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beforeAutospacing="1" w:after="2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beforeAutospacing="1" w:after="2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B04272" w:rsidRPr="00B41CBE" w:rsidTr="007147E6">
        <w:trPr>
          <w:trHeight w:val="290"/>
        </w:trPr>
        <w:tc>
          <w:tcPr>
            <w:tcW w:w="5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04272" w:rsidRPr="00840AE3" w:rsidTr="007147E6">
        <w:trPr>
          <w:trHeight w:val="102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«О социальной поддержке населения муниципального образования «Чебаркульский городской округ»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2018-202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 годы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840AE3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AE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04272" w:rsidRPr="00840AE3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156 674 100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04272" w:rsidRPr="00840AE3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158 227 400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272" w:rsidRPr="00840AE3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158 710 900</w:t>
            </w:r>
          </w:p>
        </w:tc>
      </w:tr>
      <w:tr w:rsidR="00B04272" w:rsidRPr="00B41CBE" w:rsidTr="007147E6">
        <w:trPr>
          <w:trHeight w:val="102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102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146 883 800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148 437 100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148 920 600</w:t>
            </w:r>
          </w:p>
        </w:tc>
      </w:tr>
      <w:tr w:rsidR="00B04272" w:rsidRPr="00B41CBE" w:rsidTr="007147E6">
        <w:trPr>
          <w:trHeight w:val="66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852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9 790 300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9 790 300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9 790 300</w:t>
            </w:r>
          </w:p>
        </w:tc>
      </w:tr>
      <w:tr w:rsidR="00B04272" w:rsidRPr="00B41CBE" w:rsidTr="007147E6">
        <w:trPr>
          <w:trHeight w:val="54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78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1.1 Оказание финансовой помощи малоимущим гражданам,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нуждающимся в социальном обслуживании,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 Постановлением администрации ЧГО «О социальной комиссии МО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«Чебаркульский городской округ»</w:t>
            </w:r>
          </w:p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  (КЦСОН)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446 1006 53016 79502 313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300 000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300 000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400 000</w:t>
            </w:r>
          </w:p>
        </w:tc>
      </w:tr>
      <w:tr w:rsidR="00B04272" w:rsidRPr="00B41CBE" w:rsidTr="007147E6">
        <w:trPr>
          <w:trHeight w:val="35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1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75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300 000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300 000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00 000</w:t>
            </w:r>
          </w:p>
        </w:tc>
      </w:tr>
      <w:tr w:rsidR="00B04272" w:rsidRPr="00B41CBE" w:rsidTr="007147E6">
        <w:trPr>
          <w:trHeight w:val="695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39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 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натуральной помощи малоимущим гражданам,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нуждающимся в социальном обслуживании, в соответствии с 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администрации ЧГО «О социальной комиссии МО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«Чебаркульский городской округ»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(КЦСОН)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446 1006 53016 79503 244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99 000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99 000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199 000</w:t>
            </w:r>
          </w:p>
        </w:tc>
      </w:tr>
      <w:tr w:rsidR="00B04272" w:rsidRPr="00B41CBE" w:rsidTr="007147E6">
        <w:trPr>
          <w:trHeight w:val="494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6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69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99 000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99 000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199 000</w:t>
            </w:r>
          </w:p>
        </w:tc>
      </w:tr>
      <w:tr w:rsidR="00B04272" w:rsidRPr="00B41CBE" w:rsidTr="007147E6">
        <w:trPr>
          <w:trHeight w:val="444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51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2.1. Организация и проведение городских акций, мероприятий, посвященных памятным датам, социальной направленности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ЧГО, </w:t>
            </w:r>
            <w:proofErr w:type="spellStart"/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ЧГО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446 1006 53007 79506 244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</w:tr>
      <w:tr w:rsidR="00B04272" w:rsidRPr="00B41CBE" w:rsidTr="007147E6">
        <w:trPr>
          <w:trHeight w:val="53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58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70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</w:tr>
      <w:tr w:rsidR="00B04272" w:rsidRPr="00B41CBE" w:rsidTr="007147E6">
        <w:trPr>
          <w:trHeight w:val="50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61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2.2. Проведение поздравительных мероприятий для пожилых граждан, достигших возраста 90, 95, 100 лет</w:t>
            </w:r>
            <w:r w:rsidRPr="0014445B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Порядком  поздравления </w:t>
            </w:r>
            <w:r w:rsidRPr="0014445B">
              <w:rPr>
                <w:rFonts w:ascii="Times New Roman" w:eastAsia="Times New Roman" w:hAnsi="Times New Roman" w:cs="Times New Roman"/>
                <w:lang w:eastAsia="ru-RU"/>
              </w:rPr>
              <w:t xml:space="preserve">  пожилых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445B">
              <w:rPr>
                <w:rFonts w:ascii="Times New Roman" w:eastAsia="Times New Roman" w:hAnsi="Times New Roman" w:cs="Times New Roman"/>
                <w:lang w:eastAsia="ru-RU"/>
              </w:rPr>
              <w:t>граждан, проживающих на территории Чебаркульского городского округа, в дни их рождения» в новой редакции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 (КЦСОН)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446 1006 53016 79505 313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71 000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71 000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71 000</w:t>
            </w:r>
          </w:p>
        </w:tc>
      </w:tr>
      <w:tr w:rsidR="00B04272" w:rsidRPr="00B41CBE" w:rsidTr="007147E6">
        <w:trPr>
          <w:trHeight w:val="49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0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1838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71 000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71 000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71 000</w:t>
            </w:r>
          </w:p>
        </w:tc>
      </w:tr>
      <w:tr w:rsidR="00B04272" w:rsidRPr="00B41CBE" w:rsidTr="007147E6">
        <w:trPr>
          <w:trHeight w:val="5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3.1.Ежемесячная денежная выплата Почетным гражданам  города в соответствии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Положением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о звании «Почетный гражданин города Чебаркуля»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446 1006 53016 79501 313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1 260 000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1 260 000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1 260 000</w:t>
            </w:r>
          </w:p>
        </w:tc>
      </w:tr>
      <w:tr w:rsidR="00B04272" w:rsidRPr="00B41CBE" w:rsidTr="007147E6">
        <w:trPr>
          <w:trHeight w:val="524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9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75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1 260 000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1 260 000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1 260 000</w:t>
            </w:r>
          </w:p>
        </w:tc>
      </w:tr>
      <w:tr w:rsidR="00B04272" w:rsidRPr="00B41CBE" w:rsidTr="007147E6">
        <w:trPr>
          <w:trHeight w:val="555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4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Выплата пенсии за выслугу лет лицам, зам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ещавшим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олжности муниципальной службы в соответствии с положением о 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назначении и выплате пенсии за выслугу лет лицам, замещавшим муниципальные должности муниципальной службы 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«Чебаркульский городской округ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446 1006 53095 49127 312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5 348 938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5 348 938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5 348 938</w:t>
            </w:r>
          </w:p>
        </w:tc>
      </w:tr>
      <w:tr w:rsidR="00B04272" w:rsidRPr="00B41CBE" w:rsidTr="007147E6">
        <w:trPr>
          <w:trHeight w:val="30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0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0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5 348 938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5 348 938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5 348 938</w:t>
            </w:r>
          </w:p>
        </w:tc>
      </w:tr>
      <w:tr w:rsidR="00B04272" w:rsidRPr="00B41CBE" w:rsidTr="007147E6">
        <w:trPr>
          <w:trHeight w:val="80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5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3.3.Ежемесячная доплата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(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. досрочно) в соответствии с Законом Челябинской области «О гарантиях осуществления полномочий депутата, члена выборного органа местного самоуправления» 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УСЗН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446 1006 53095 49127 312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hAnsi="Times New Roman"/>
                <w:lang w:eastAsia="ru-RU"/>
              </w:rPr>
              <w:t>451 062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hAnsi="Times New Roman"/>
                <w:lang w:eastAsia="ru-RU"/>
              </w:rPr>
              <w:t>451 062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hAnsi="Times New Roman"/>
                <w:lang w:eastAsia="ru-RU"/>
              </w:rPr>
              <w:t>451 062</w:t>
            </w:r>
          </w:p>
        </w:tc>
      </w:tr>
      <w:tr w:rsidR="00B04272" w:rsidRPr="00B41CBE" w:rsidTr="007147E6">
        <w:trPr>
          <w:trHeight w:val="52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52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81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hAnsi="Times New Roman"/>
                <w:lang w:eastAsia="ru-RU"/>
              </w:rPr>
              <w:t>451 062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hAnsi="Times New Roman"/>
                <w:lang w:eastAsia="ru-RU"/>
              </w:rPr>
              <w:t>451 062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hAnsi="Times New Roman"/>
                <w:lang w:eastAsia="ru-RU"/>
              </w:rPr>
              <w:t>451 062</w:t>
            </w:r>
          </w:p>
        </w:tc>
      </w:tr>
      <w:tr w:rsidR="00B04272" w:rsidRPr="00B41CBE" w:rsidTr="007147E6">
        <w:trPr>
          <w:trHeight w:val="777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547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CB3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.Предоста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ение гражданам субсидий на оплату жилого помещения и коммунальных услуг в соответствии с Постановлением Правительства Челябинской области «Об утверждении Порядка перечисления (выплаты, вручения) субсидий на оплату жилого помещения и коммунальных услуг получателям субсидий в Челябинской области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446 1003 53016 49000 313 </w:t>
            </w:r>
          </w:p>
          <w:p w:rsidR="00B04272" w:rsidRPr="00B41CBE" w:rsidRDefault="00B04272" w:rsidP="007147E6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53016 49000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19 493 400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20 148 800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20 434 50</w:t>
            </w:r>
            <w:r w:rsidRPr="00B41CBE">
              <w:rPr>
                <w:rFonts w:ascii="Times New Roman" w:hAnsi="Times New Roman" w:cs="Times New Roman"/>
              </w:rPr>
              <w:t>0</w:t>
            </w:r>
          </w:p>
        </w:tc>
      </w:tr>
      <w:tr w:rsidR="00B04272" w:rsidRPr="00B41CBE" w:rsidTr="007147E6">
        <w:trPr>
          <w:trHeight w:val="427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54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19 493 400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20 148 800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20 434 50</w:t>
            </w:r>
            <w:r w:rsidRPr="00B41CBE">
              <w:rPr>
                <w:rFonts w:ascii="Times New Roman" w:hAnsi="Times New Roman" w:cs="Times New Roman"/>
              </w:rPr>
              <w:t>0</w:t>
            </w:r>
          </w:p>
        </w:tc>
      </w:tr>
      <w:tr w:rsidR="00B04272" w:rsidRPr="00B41CBE" w:rsidTr="007147E6">
        <w:trPr>
          <w:trHeight w:val="41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2172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44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83CB3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41CBE">
              <w:rPr>
                <w:rFonts w:ascii="Times New Roman" w:hAnsi="Times New Roman"/>
                <w:lang w:eastAsia="ru-RU"/>
              </w:rPr>
              <w:t>Предоставление отдельных мер социальной поддержки гражданам, подвергшимся воздействию радиации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B41CBE">
              <w:rPr>
                <w:rFonts w:ascii="Times New Roman" w:hAnsi="Times New Roman"/>
                <w:lang w:eastAsia="ru-RU"/>
              </w:rPr>
              <w:t xml:space="preserve"> в соответствии с </w:t>
            </w:r>
            <w:r w:rsidRPr="00B41CBE">
              <w:rPr>
                <w:rFonts w:ascii="Times New Roman" w:hAnsi="Times New Roman"/>
              </w:rPr>
              <w:t xml:space="preserve">Постановлением </w:t>
            </w:r>
            <w:r w:rsidRPr="00B41CBE">
              <w:rPr>
                <w:rFonts w:ascii="Times New Roman" w:hAnsi="Times New Roman"/>
              </w:rPr>
              <w:lastRenderedPageBreak/>
              <w:t>Губернатора Челябинской области ежегодной денежной выплаты детям умерших участников ликвидации последствий катастрофы на Чернобыльской АЭС</w:t>
            </w:r>
            <w:r>
              <w:rPr>
                <w:rFonts w:ascii="Times New Roman" w:hAnsi="Times New Roman"/>
              </w:rPr>
              <w:t>,</w:t>
            </w:r>
            <w:r w:rsidRPr="00B41CBE">
              <w:rPr>
                <w:rFonts w:ascii="Times New Roman" w:hAnsi="Times New Roman"/>
              </w:rPr>
              <w:t xml:space="preserve">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 реку Теча в Челябинской области»</w:t>
            </w:r>
            <w:proofErr w:type="gramEnd"/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446 1003 53016 51370 313</w:t>
            </w:r>
          </w:p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446 1003 53016 51370 244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641 200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722 900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751 800</w:t>
            </w:r>
          </w:p>
        </w:tc>
      </w:tr>
      <w:tr w:rsidR="00B04272" w:rsidRPr="00B41CBE" w:rsidTr="007147E6">
        <w:trPr>
          <w:trHeight w:val="557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641 200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722 900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751 800</w:t>
            </w:r>
          </w:p>
        </w:tc>
      </w:tr>
      <w:tr w:rsidR="00B04272" w:rsidRPr="00B41CBE" w:rsidTr="007147E6">
        <w:trPr>
          <w:trHeight w:val="55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55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66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515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EE4E27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3CB3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Ежегодная денежная  выплата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лицам, награжденным нагрудным знаком «Почетный донор России»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соответствии 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 </w:t>
            </w:r>
            <w:r w:rsidRPr="00B41CBE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м Правительства РФ </w:t>
            </w:r>
            <w:r w:rsidRPr="00B41CBE">
              <w:rPr>
                <w:rFonts w:ascii="Times New Roman" w:hAnsi="Times New Roman" w:cs="Times New Roman"/>
              </w:rPr>
              <w:t>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446 1003 53016 52200 313</w:t>
            </w:r>
          </w:p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446 1003 53016 52200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3 401 200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3 537 2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3 678 900</w:t>
            </w:r>
          </w:p>
        </w:tc>
      </w:tr>
      <w:tr w:rsidR="00B04272" w:rsidRPr="00B41CBE" w:rsidTr="007147E6">
        <w:trPr>
          <w:trHeight w:val="354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3 401 200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3 537 2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3 678 900</w:t>
            </w:r>
          </w:p>
        </w:tc>
      </w:tr>
      <w:tr w:rsidR="00B04272" w:rsidRPr="00B41CBE" w:rsidTr="007147E6">
        <w:trPr>
          <w:trHeight w:val="354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 w:rsidRPr="00B41CBE"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 w:rsidRPr="00B41CBE">
              <w:t>0</w:t>
            </w:r>
          </w:p>
        </w:tc>
      </w:tr>
      <w:tr w:rsidR="00B04272" w:rsidRPr="00B41CBE" w:rsidTr="007147E6">
        <w:trPr>
          <w:trHeight w:val="70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79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256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CB3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  <w:r w:rsidRPr="00B41CBE">
              <w:rPr>
                <w:rFonts w:ascii="Times New Roman" w:hAnsi="Times New Roman"/>
                <w:lang w:eastAsia="ru-RU"/>
              </w:rPr>
              <w:t>Оплата жилищно-коммунальных услуг отдельным категориям граждан в соответствии с Жилищным кодексом РФ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446 1003 53016 52500 313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446 1003 53016 52500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26 135 6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26 665 500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26 665 5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477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26 135 6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26 665 500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26 665 5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35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765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75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586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583CB3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CB3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  <w:r w:rsidRPr="00B41CBE">
              <w:rPr>
                <w:rFonts w:ascii="Times New Roman" w:hAnsi="Times New Roman"/>
                <w:lang w:eastAsia="ru-RU"/>
              </w:rPr>
              <w:t xml:space="preserve"> 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41CBE">
              <w:rPr>
                <w:rFonts w:ascii="Times New Roman" w:hAnsi="Times New Roman"/>
                <w:lang w:eastAsia="ru-RU"/>
              </w:rPr>
              <w:t>дств в с</w:t>
            </w:r>
            <w:proofErr w:type="gramEnd"/>
            <w:r w:rsidRPr="00B41CBE">
              <w:rPr>
                <w:rFonts w:ascii="Times New Roman" w:hAnsi="Times New Roman"/>
                <w:lang w:eastAsia="ru-RU"/>
              </w:rPr>
              <w:t xml:space="preserve">оответствии с </w:t>
            </w:r>
            <w:r w:rsidRPr="00B41CBE">
              <w:rPr>
                <w:rFonts w:ascii="Times New Roman" w:hAnsi="Times New Roman"/>
              </w:rPr>
              <w:t>Постановлением Правительства Челябинской области «О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области»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446 1003 53016 52800 313</w:t>
            </w:r>
          </w:p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446 1003 53016 52800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4 900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4 9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4 9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58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4 900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4 9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4 9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555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704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555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75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CB3">
              <w:rPr>
                <w:rFonts w:ascii="Times New Roman" w:hAnsi="Times New Roman"/>
                <w:lang w:eastAsia="ru-RU"/>
              </w:rPr>
              <w:t>3.9.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Возмещение стоимости услуг по погребению и выплата социального пособия на погребение в соответствии с Закон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 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Челябинской области</w:t>
            </w:r>
          </w:p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«О возмещении стоимости услуг по погребению и выплате социального пособия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погребение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446 1003 53016 75800 313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446 1003 53016 75800 244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47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8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48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1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97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83CB3">
              <w:rPr>
                <w:rFonts w:ascii="Times New Roman" w:hAnsi="Times New Roman"/>
                <w:lang w:eastAsia="ru-RU"/>
              </w:rPr>
              <w:t>3.10.</w:t>
            </w:r>
            <w:r w:rsidRPr="00B41CBE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446 1003 53016 21100 313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446 1003 53016 21100 244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40 582 400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40 582 400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40 582 4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42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98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40 582 400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40 582 400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40 582 4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53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8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77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83CB3">
              <w:rPr>
                <w:rFonts w:ascii="Times New Roman" w:hAnsi="Times New Roman"/>
                <w:lang w:eastAsia="ru-RU"/>
              </w:rPr>
              <w:t>3.11.</w:t>
            </w:r>
            <w:r w:rsidRPr="00B41CBE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446 1003 53016 21200 313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446 1003 53016 21200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2 043 500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2 043 500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2 043 500</w:t>
            </w:r>
          </w:p>
        </w:tc>
      </w:tr>
      <w:tr w:rsidR="00B04272" w:rsidRPr="00B41CBE" w:rsidTr="007147E6">
        <w:trPr>
          <w:trHeight w:val="41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7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2 043 500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2 043 500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2 043 500</w:t>
            </w:r>
          </w:p>
        </w:tc>
      </w:tr>
      <w:tr w:rsidR="00B04272" w:rsidRPr="00B41CBE" w:rsidTr="007147E6">
        <w:trPr>
          <w:trHeight w:val="74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658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104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83CB3">
              <w:rPr>
                <w:rFonts w:ascii="Times New Roman" w:hAnsi="Times New Roman"/>
                <w:lang w:eastAsia="ru-RU"/>
              </w:rPr>
              <w:t>3.12.</w:t>
            </w:r>
            <w:r w:rsidRPr="00B41CBE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446 1003 53016 21300 313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446 1003 53016 21300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27 827 500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27 827 50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27 827 5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34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525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27 827 500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27 827 50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27 827 5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847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8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245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83CB3">
              <w:rPr>
                <w:rFonts w:ascii="Times New Roman" w:hAnsi="Times New Roman"/>
                <w:lang w:eastAsia="ru-RU"/>
              </w:rPr>
              <w:t>3.13.</w:t>
            </w:r>
            <w:r w:rsidRPr="00B41CBE">
              <w:rPr>
                <w:rFonts w:ascii="Times New Roman" w:hAnsi="Times New Roman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 «О дополнительных мерах социальной защиты ветеранов в Челябинской области»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446 1003 53016 21400 313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446 1003 53016 21400 244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179 300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186 5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194 0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44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9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179 300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186 5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194 0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64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5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20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83CB3">
              <w:rPr>
                <w:rFonts w:ascii="Times New Roman" w:hAnsi="Times New Roman"/>
                <w:lang w:eastAsia="ru-RU"/>
              </w:rPr>
              <w:t>3.14.</w:t>
            </w:r>
            <w:r w:rsidRPr="00B41CBE">
              <w:rPr>
                <w:rFonts w:ascii="Times New Roman" w:hAnsi="Times New Roman"/>
                <w:lang w:eastAsia="ru-RU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защиты ветеранов в Челябинской области»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446 1003 53016 21700 313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446 1003 53016 21700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</w:tcPr>
          <w:p w:rsidR="00B04272" w:rsidRDefault="00B04272" w:rsidP="007147E6">
            <w:pPr>
              <w:jc w:val="center"/>
            </w:pPr>
            <w:r w:rsidRPr="00B00441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705" w:type="dxa"/>
          </w:tcPr>
          <w:p w:rsidR="00B04272" w:rsidRDefault="00B04272" w:rsidP="007147E6">
            <w:pPr>
              <w:jc w:val="center"/>
            </w:pPr>
            <w:r w:rsidRPr="00B00441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701" w:type="dxa"/>
          </w:tcPr>
          <w:p w:rsidR="00B04272" w:rsidRDefault="00B04272" w:rsidP="007147E6">
            <w:pPr>
              <w:jc w:val="center"/>
            </w:pPr>
            <w:r w:rsidRPr="00B00441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</w:tr>
      <w:tr w:rsidR="00B04272" w:rsidRPr="00B41CBE" w:rsidTr="007147E6">
        <w:trPr>
          <w:trHeight w:val="53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45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705" w:type="dxa"/>
          </w:tcPr>
          <w:p w:rsidR="00B04272" w:rsidRDefault="00B04272" w:rsidP="007147E6">
            <w:pPr>
              <w:jc w:val="center"/>
            </w:pPr>
            <w:r w:rsidRPr="008D7F8B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701" w:type="dxa"/>
          </w:tcPr>
          <w:p w:rsidR="00B04272" w:rsidRDefault="00B04272" w:rsidP="007147E6">
            <w:pPr>
              <w:jc w:val="center"/>
            </w:pPr>
            <w:r w:rsidRPr="008D7F8B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</w:tr>
      <w:tr w:rsidR="00B04272" w:rsidRPr="00B41CBE" w:rsidTr="007147E6">
        <w:trPr>
          <w:trHeight w:val="622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35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19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>3.15</w:t>
            </w:r>
            <w:r w:rsidRPr="00B41CBE">
              <w:rPr>
                <w:rFonts w:ascii="Times New Roman" w:hAnsi="Times New Roman"/>
                <w:lang w:eastAsia="ru-RU"/>
              </w:rPr>
              <w:t>.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Компенсация расходов на уплату взноса на капитальный ремонт общего имущества в многоквартирном доме в соответствии с </w:t>
            </w:r>
            <w:r w:rsidRPr="00B41CBE">
              <w:rPr>
                <w:rFonts w:ascii="Times New Roman" w:hAnsi="Times New Roman" w:cs="Times New Roman"/>
              </w:rPr>
              <w:t>Постановлением Правительства Челябинской области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446 1003 53016 21900 313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446 1003 53016 21900 244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3 128 800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3 128 800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3 128 800</w:t>
            </w:r>
          </w:p>
        </w:tc>
      </w:tr>
      <w:tr w:rsidR="00B04272" w:rsidRPr="00B41CBE" w:rsidTr="007147E6">
        <w:trPr>
          <w:trHeight w:val="55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5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3 128 800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3 128 800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3 128 800</w:t>
            </w:r>
          </w:p>
        </w:tc>
      </w:tr>
      <w:tr w:rsidR="00B04272" w:rsidRPr="00B41CBE" w:rsidTr="007147E6">
        <w:trPr>
          <w:trHeight w:val="72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942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639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3.16</w:t>
            </w:r>
            <w:r w:rsidRPr="00B41CBE">
              <w:rPr>
                <w:rFonts w:ascii="Times New Roman" w:hAnsi="Times New Roman"/>
                <w:lang w:eastAsia="ru-RU"/>
              </w:rPr>
              <w:t>.</w:t>
            </w:r>
            <w:r w:rsidRPr="00B41CBE">
              <w:rPr>
                <w:rFonts w:ascii="Times New Roman" w:hAnsi="Times New Roman" w:cs="Times New Roman"/>
                <w:lang w:eastAsia="ru-RU"/>
              </w:rPr>
              <w:t xml:space="preserve"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</w:t>
            </w:r>
            <w:r w:rsidRPr="00B41CBE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>м</w:t>
            </w:r>
            <w:r w:rsidRPr="00B41CBE">
              <w:rPr>
                <w:rFonts w:ascii="Times New Roman" w:hAnsi="Times New Roman" w:cs="Times New Roman"/>
              </w:rPr>
              <w:t xml:space="preserve"> Правительства Челябинской области «О Порядке возмещения детям погибших участников Великой Отечественной войны и приравненным к ним лицам расходов на проезд к месту захоронения отца (матери)»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val="en-US" w:eastAsia="ru-RU"/>
              </w:rPr>
              <w:t>446 1003 53016 76000 313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FC3DDB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446 1003 53016 76000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FC3DDB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866">
              <w:rPr>
                <w:rFonts w:ascii="Times New Roman" w:eastAsia="Times New Roman" w:hAnsi="Times New Roman" w:cs="Times New Roman"/>
                <w:lang w:eastAsia="ru-RU"/>
              </w:rPr>
              <w:t>168 500</w:t>
            </w:r>
          </w:p>
        </w:tc>
        <w:tc>
          <w:tcPr>
            <w:tcW w:w="1705" w:type="dxa"/>
            <w:vAlign w:val="center"/>
          </w:tcPr>
          <w:p w:rsidR="00B04272" w:rsidRPr="00FC3DDB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866">
              <w:rPr>
                <w:rFonts w:ascii="Times New Roman" w:eastAsia="Times New Roman" w:hAnsi="Times New Roman" w:cs="Times New Roman"/>
                <w:lang w:eastAsia="ru-RU"/>
              </w:rPr>
              <w:t>168 500</w:t>
            </w:r>
          </w:p>
        </w:tc>
        <w:tc>
          <w:tcPr>
            <w:tcW w:w="1701" w:type="dxa"/>
            <w:vAlign w:val="center"/>
          </w:tcPr>
          <w:p w:rsidR="00B04272" w:rsidRPr="00FC3DDB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866">
              <w:rPr>
                <w:rFonts w:ascii="Times New Roman" w:eastAsia="Times New Roman" w:hAnsi="Times New Roman" w:cs="Times New Roman"/>
                <w:lang w:eastAsia="ru-RU"/>
              </w:rPr>
              <w:t>168 500</w:t>
            </w:r>
          </w:p>
        </w:tc>
      </w:tr>
      <w:tr w:rsidR="00B04272" w:rsidRPr="00B41CBE" w:rsidTr="007147E6">
        <w:trPr>
          <w:trHeight w:val="443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56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168 500</w:t>
            </w:r>
          </w:p>
        </w:tc>
        <w:tc>
          <w:tcPr>
            <w:tcW w:w="1705" w:type="dxa"/>
            <w:vAlign w:val="center"/>
          </w:tcPr>
          <w:p w:rsidR="00B04272" w:rsidRPr="00FC3DDB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0C9">
              <w:rPr>
                <w:rFonts w:ascii="Times New Roman" w:eastAsia="Times New Roman" w:hAnsi="Times New Roman" w:cs="Times New Roman"/>
                <w:lang w:eastAsia="ru-RU"/>
              </w:rPr>
              <w:t>168 500</w:t>
            </w:r>
          </w:p>
        </w:tc>
        <w:tc>
          <w:tcPr>
            <w:tcW w:w="1701" w:type="dxa"/>
            <w:vAlign w:val="center"/>
          </w:tcPr>
          <w:p w:rsidR="00B04272" w:rsidRPr="00FC3DDB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0C9">
              <w:rPr>
                <w:rFonts w:ascii="Times New Roman" w:eastAsia="Times New Roman" w:hAnsi="Times New Roman" w:cs="Times New Roman"/>
                <w:lang w:eastAsia="ru-RU"/>
              </w:rPr>
              <w:t>168 500</w:t>
            </w:r>
          </w:p>
        </w:tc>
      </w:tr>
      <w:tr w:rsidR="00B04272" w:rsidRPr="00B41CBE" w:rsidTr="007147E6">
        <w:trPr>
          <w:trHeight w:val="80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62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62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3.17</w:t>
            </w:r>
            <w:r w:rsidRPr="00B41CBE">
              <w:rPr>
                <w:rFonts w:ascii="Times New Roman" w:hAnsi="Times New Roman"/>
                <w:lang w:eastAsia="ru-RU"/>
              </w:rPr>
              <w:t>. Адресная субсидия гражданам в связи с ростом платы за коммунальные услуги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val="en-US" w:eastAsia="ru-RU"/>
              </w:rPr>
              <w:t>446 1003 53016 7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Pr="00B41CBE">
              <w:rPr>
                <w:rFonts w:ascii="Times New Roman" w:eastAsia="Times New Roman" w:hAnsi="Times New Roman" w:cs="Times New Roman"/>
                <w:lang w:val="en-US" w:eastAsia="ru-RU"/>
              </w:rPr>
              <w:t>00 313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FC3DDB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val="en-US" w:eastAsia="ru-RU"/>
              </w:rPr>
              <w:t>446 1003 53016 7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258 400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258 400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258 400</w:t>
            </w:r>
          </w:p>
        </w:tc>
      </w:tr>
      <w:tr w:rsidR="00B04272" w:rsidRPr="00B41CBE" w:rsidTr="007147E6">
        <w:trPr>
          <w:trHeight w:val="427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277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258 400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258 400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258 400</w:t>
            </w:r>
          </w:p>
        </w:tc>
      </w:tr>
      <w:tr w:rsidR="00B04272" w:rsidRPr="00B41CBE" w:rsidTr="007147E6">
        <w:trPr>
          <w:trHeight w:val="16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16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195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3.18 Оплата </w:t>
            </w:r>
            <w:r w:rsidRPr="00B41CBE">
              <w:rPr>
                <w:rFonts w:ascii="Times New Roman" w:hAnsi="Times New Roman"/>
                <w:lang w:eastAsia="ru-RU"/>
              </w:rPr>
              <w:t>расходов на обеспечение деятельности отдела субсидий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446 1006 53004 49000 000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1 623 700</w:t>
            </w:r>
          </w:p>
        </w:tc>
        <w:tc>
          <w:tcPr>
            <w:tcW w:w="1705" w:type="dxa"/>
            <w:vAlign w:val="center"/>
          </w:tcPr>
          <w:p w:rsidR="00B04272" w:rsidRDefault="00B04272" w:rsidP="007147E6">
            <w:pPr>
              <w:jc w:val="center"/>
            </w:pPr>
            <w:r w:rsidRPr="00414763">
              <w:rPr>
                <w:rFonts w:ascii="Times New Roman" w:eastAsia="Times New Roman" w:hAnsi="Times New Roman" w:cs="Times New Roman"/>
                <w:lang w:eastAsia="ru-RU"/>
              </w:rPr>
              <w:t>1 623 700</w:t>
            </w:r>
          </w:p>
        </w:tc>
        <w:tc>
          <w:tcPr>
            <w:tcW w:w="1701" w:type="dxa"/>
            <w:vAlign w:val="center"/>
          </w:tcPr>
          <w:p w:rsidR="00B04272" w:rsidRDefault="00B04272" w:rsidP="007147E6">
            <w:pPr>
              <w:jc w:val="center"/>
            </w:pPr>
            <w:r w:rsidRPr="00414763">
              <w:rPr>
                <w:rFonts w:ascii="Times New Roman" w:eastAsia="Times New Roman" w:hAnsi="Times New Roman" w:cs="Times New Roman"/>
                <w:lang w:eastAsia="ru-RU"/>
              </w:rPr>
              <w:t>1 623 700</w:t>
            </w:r>
          </w:p>
        </w:tc>
      </w:tr>
      <w:tr w:rsidR="00B04272" w:rsidRPr="00B41CBE" w:rsidTr="007147E6">
        <w:trPr>
          <w:trHeight w:val="19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38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1 623 700</w:t>
            </w:r>
          </w:p>
        </w:tc>
        <w:tc>
          <w:tcPr>
            <w:tcW w:w="1705" w:type="dxa"/>
            <w:vAlign w:val="center"/>
          </w:tcPr>
          <w:p w:rsidR="00B04272" w:rsidRDefault="00B04272" w:rsidP="007147E6">
            <w:pPr>
              <w:jc w:val="center"/>
            </w:pPr>
            <w:r w:rsidRPr="00414763">
              <w:rPr>
                <w:rFonts w:ascii="Times New Roman" w:eastAsia="Times New Roman" w:hAnsi="Times New Roman" w:cs="Times New Roman"/>
                <w:lang w:eastAsia="ru-RU"/>
              </w:rPr>
              <w:t>1 623 700</w:t>
            </w:r>
          </w:p>
        </w:tc>
        <w:tc>
          <w:tcPr>
            <w:tcW w:w="1701" w:type="dxa"/>
            <w:vAlign w:val="center"/>
          </w:tcPr>
          <w:p w:rsidR="00B04272" w:rsidRDefault="00B04272" w:rsidP="007147E6">
            <w:pPr>
              <w:jc w:val="center"/>
            </w:pPr>
            <w:r w:rsidRPr="00414763">
              <w:rPr>
                <w:rFonts w:ascii="Times New Roman" w:eastAsia="Times New Roman" w:hAnsi="Times New Roman" w:cs="Times New Roman"/>
                <w:lang w:eastAsia="ru-RU"/>
              </w:rPr>
              <w:t>1 623 700</w:t>
            </w:r>
          </w:p>
        </w:tc>
      </w:tr>
      <w:tr w:rsidR="00B04272" w:rsidRPr="00B41CBE" w:rsidTr="007147E6">
        <w:trPr>
          <w:trHeight w:val="231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651"/>
        </w:trPr>
        <w:tc>
          <w:tcPr>
            <w:tcW w:w="505" w:type="dxa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267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3.19</w:t>
            </w:r>
            <w:r w:rsidRPr="00B41CBE">
              <w:rPr>
                <w:rFonts w:ascii="Times New Roman" w:hAnsi="Times New Roman"/>
                <w:lang w:eastAsia="ru-RU"/>
              </w:rPr>
              <w:t>. Оплата расходов на организацию работы Управления социальной защиты населения (в том числе налог на имущество, транспортный, земельный)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446 1006 53004 14600 000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446 1006 53016 20400 000</w:t>
            </w:r>
          </w:p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446 1006 53089 20400 000</w:t>
            </w: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10 280 500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10 235 500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10 235 500</w:t>
            </w:r>
          </w:p>
        </w:tc>
      </w:tr>
      <w:tr w:rsidR="00B04272" w:rsidRPr="00B41CBE" w:rsidTr="007147E6">
        <w:trPr>
          <w:trHeight w:val="320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364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165 2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04272" w:rsidRPr="00B41CBE" w:rsidTr="007147E6">
        <w:trPr>
          <w:trHeight w:val="764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2 070 300</w:t>
            </w:r>
          </w:p>
        </w:tc>
        <w:tc>
          <w:tcPr>
            <w:tcW w:w="1705" w:type="dxa"/>
            <w:vAlign w:val="center"/>
          </w:tcPr>
          <w:p w:rsidR="00B04272" w:rsidRDefault="00B04272" w:rsidP="007147E6">
            <w:pPr>
              <w:jc w:val="center"/>
            </w:pPr>
            <w:r w:rsidRPr="00212D0A">
              <w:rPr>
                <w:rFonts w:ascii="Times New Roman" w:eastAsia="Times New Roman" w:hAnsi="Times New Roman" w:cs="Times New Roman"/>
                <w:lang w:eastAsia="ru-RU"/>
              </w:rPr>
              <w:t>2 070 300</w:t>
            </w:r>
          </w:p>
        </w:tc>
        <w:tc>
          <w:tcPr>
            <w:tcW w:w="1701" w:type="dxa"/>
            <w:vAlign w:val="center"/>
          </w:tcPr>
          <w:p w:rsidR="00B04272" w:rsidRDefault="00B04272" w:rsidP="007147E6">
            <w:pPr>
              <w:jc w:val="center"/>
            </w:pPr>
            <w:r w:rsidRPr="00212D0A">
              <w:rPr>
                <w:rFonts w:ascii="Times New Roman" w:eastAsia="Times New Roman" w:hAnsi="Times New Roman" w:cs="Times New Roman"/>
                <w:lang w:eastAsia="ru-RU"/>
              </w:rPr>
              <w:t>2 070 300</w:t>
            </w:r>
          </w:p>
        </w:tc>
      </w:tr>
      <w:tr w:rsidR="00B04272" w:rsidRPr="00B41CBE" w:rsidTr="007147E6">
        <w:trPr>
          <w:trHeight w:val="302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E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E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E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33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9" w:type="dxa"/>
            <w:vAlign w:val="center"/>
          </w:tcPr>
          <w:p w:rsidR="00B04272" w:rsidRPr="004769C1" w:rsidRDefault="00B04272" w:rsidP="007147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1CBE">
              <w:rPr>
                <w:rFonts w:ascii="Times New Roman" w:hAnsi="Times New Roman" w:cs="Times New Roman"/>
                <w:bCs/>
              </w:rPr>
              <w:t>Предоставление срочных социальных услуг;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709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272" w:rsidRPr="00B41CBE" w:rsidTr="007147E6">
        <w:trPr>
          <w:trHeight w:val="214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</w:tcPr>
          <w:p w:rsidR="00B04272" w:rsidRPr="004769C1" w:rsidRDefault="00B04272" w:rsidP="007147E6">
            <w:pPr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  <w:bCs/>
              </w:rPr>
              <w:t>4.2.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41CBE">
              <w:rPr>
                <w:rFonts w:ascii="Times New Roman" w:hAnsi="Times New Roman" w:cs="Times New Roman"/>
              </w:rPr>
              <w:t>Предоставление социальных услуг в форме социального обслуживания на дому;</w:t>
            </w: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B04272" w:rsidRPr="00B41CBE" w:rsidTr="007147E6">
        <w:trPr>
          <w:trHeight w:val="607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B04272" w:rsidRDefault="00B04272" w:rsidP="007147E6">
            <w:pPr>
              <w:jc w:val="both"/>
              <w:rPr>
                <w:rFonts w:ascii="Times New Roman" w:hAnsi="Times New Roman" w:cs="Times New Roman"/>
              </w:rPr>
            </w:pPr>
            <w:r w:rsidRPr="00B41CBE">
              <w:rPr>
                <w:rFonts w:ascii="Times New Roman" w:hAnsi="Times New Roman" w:cs="Times New Roman"/>
              </w:rPr>
              <w:t>4.3.Предоставлеие социальных услуг в полустационарной форме</w:t>
            </w:r>
            <w:r>
              <w:rPr>
                <w:rFonts w:ascii="Times New Roman" w:hAnsi="Times New Roman" w:cs="Times New Roman"/>
              </w:rPr>
              <w:t xml:space="preserve"> в условиях дневного пребывания%</w:t>
            </w:r>
          </w:p>
          <w:p w:rsidR="00B04272" w:rsidRPr="00627976" w:rsidRDefault="00B04272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B04272" w:rsidRPr="00B41CBE" w:rsidTr="007147E6">
        <w:trPr>
          <w:trHeight w:val="67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B04272" w:rsidRPr="00B41CBE" w:rsidTr="007147E6">
        <w:trPr>
          <w:trHeight w:val="56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05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Align w:val="center"/>
          </w:tcPr>
          <w:p w:rsidR="00B04272" w:rsidRPr="00FE2C24" w:rsidRDefault="00B04272" w:rsidP="00714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B04272" w:rsidRPr="00B41CBE" w:rsidTr="007147E6">
        <w:trPr>
          <w:trHeight w:val="419"/>
        </w:trPr>
        <w:tc>
          <w:tcPr>
            <w:tcW w:w="505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B04272" w:rsidRPr="00B41CBE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4.4.С</w:t>
            </w:r>
            <w:r w:rsidRPr="00B41CBE">
              <w:rPr>
                <w:rFonts w:ascii="Times New Roman" w:hAnsi="Times New Roman"/>
                <w:lang w:eastAsia="ru-RU"/>
              </w:rPr>
              <w:t>одержание учреждения, оплата труда работников учреждения КЦ СОН</w:t>
            </w:r>
          </w:p>
        </w:tc>
        <w:tc>
          <w:tcPr>
            <w:tcW w:w="141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446 1006 53010 48000 611</w:t>
            </w:r>
          </w:p>
        </w:tc>
        <w:tc>
          <w:tcPr>
            <w:tcW w:w="2117" w:type="dxa"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12 677 200</w:t>
            </w:r>
          </w:p>
        </w:tc>
        <w:tc>
          <w:tcPr>
            <w:tcW w:w="1705" w:type="dxa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12 677 200</w:t>
            </w:r>
          </w:p>
        </w:tc>
        <w:tc>
          <w:tcPr>
            <w:tcW w:w="1701" w:type="dxa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12 677 200</w:t>
            </w:r>
          </w:p>
        </w:tc>
      </w:tr>
      <w:tr w:rsidR="00B04272" w:rsidRPr="00B41CBE" w:rsidTr="007147E6">
        <w:trPr>
          <w:trHeight w:val="41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</w:tcPr>
          <w:p w:rsidR="00B04272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</w:tc>
        <w:tc>
          <w:tcPr>
            <w:tcW w:w="1709" w:type="dxa"/>
          </w:tcPr>
          <w:p w:rsidR="00B04272" w:rsidRPr="00445E47" w:rsidRDefault="00B04272" w:rsidP="007147E6">
            <w:pPr>
              <w:jc w:val="center"/>
              <w:rPr>
                <w:rFonts w:ascii="Times New Roman" w:hAnsi="Times New Roman" w:cs="Times New Roman"/>
              </w:rPr>
            </w:pPr>
            <w:r w:rsidRPr="00445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5" w:type="dxa"/>
          </w:tcPr>
          <w:p w:rsidR="00B04272" w:rsidRPr="00445E47" w:rsidRDefault="00B04272" w:rsidP="007147E6">
            <w:pPr>
              <w:jc w:val="center"/>
              <w:rPr>
                <w:rFonts w:ascii="Times New Roman" w:hAnsi="Times New Roman" w:cs="Times New Roman"/>
              </w:rPr>
            </w:pPr>
            <w:r w:rsidRPr="00445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E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4272" w:rsidRPr="00B41CBE" w:rsidTr="007147E6">
        <w:trPr>
          <w:trHeight w:val="41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</w:tcPr>
          <w:p w:rsidR="00B04272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12 677 200</w:t>
            </w:r>
          </w:p>
        </w:tc>
        <w:tc>
          <w:tcPr>
            <w:tcW w:w="1705" w:type="dxa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12 677 200</w:t>
            </w:r>
          </w:p>
        </w:tc>
        <w:tc>
          <w:tcPr>
            <w:tcW w:w="1701" w:type="dxa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12 677 200</w:t>
            </w:r>
          </w:p>
        </w:tc>
      </w:tr>
      <w:tr w:rsidR="00B04272" w:rsidRPr="00B41CBE" w:rsidTr="007147E6">
        <w:trPr>
          <w:trHeight w:val="419"/>
        </w:trPr>
        <w:tc>
          <w:tcPr>
            <w:tcW w:w="505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B04272" w:rsidRDefault="00B04272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04272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B04272" w:rsidRPr="00B41CBE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</w:tcPr>
          <w:p w:rsidR="00B04272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</w:tcPr>
          <w:p w:rsidR="00B04272" w:rsidRPr="00445E47" w:rsidRDefault="00B04272" w:rsidP="0071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5" w:type="dxa"/>
          </w:tcPr>
          <w:p w:rsidR="00B04272" w:rsidRPr="00445E47" w:rsidRDefault="00B04272" w:rsidP="0071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B04272" w:rsidRPr="00445E47" w:rsidRDefault="00B04272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272" w:rsidRDefault="00B04272" w:rsidP="00B0427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04272" w:rsidRPr="00FE48E9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04272" w:rsidRPr="00FE48E9" w:rsidSect="000E3D7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04272" w:rsidRPr="00695B63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B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Финансирование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осуществляется в объемах, установленных </w:t>
      </w:r>
      <w:r w:rsidRPr="00695B63">
        <w:rPr>
          <w:rFonts w:ascii="Times New Roman" w:eastAsia="Calibri" w:hAnsi="Times New Roman" w:cs="Times New Roman"/>
          <w:sz w:val="28"/>
          <w:szCs w:val="28"/>
        </w:rPr>
        <w:t>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B04272" w:rsidRPr="00695B63" w:rsidRDefault="00B04272" w:rsidP="00B04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4272" w:rsidRPr="00854CF4" w:rsidRDefault="00B04272" w:rsidP="00B0427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«Организация управления 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ханизм реализации муниципальной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программы».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осуществляется ответственным исполнителем – Управлением социальной защиты населения Чебаркульского городского округа, который выполняет следующие функции: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планирование и мониторинг реализации мероприятий программы;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несет ответственность за качество реализации мероприятий муниципальной программы, обеспечивает эффективное использование средств, выделяемых на ее реализацию;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программы, в том числе на очередной финансовый год и плановый период;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представляет запрашивае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мые сведения о ходе реализации 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проводит оценку эффективности реализации мероприятий программы;</w:t>
      </w: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CF4">
        <w:rPr>
          <w:rFonts w:ascii="Times New Roman" w:eastAsia="Calibri" w:hAnsi="Times New Roman" w:cs="Times New Roman"/>
          <w:sz w:val="28"/>
          <w:szCs w:val="28"/>
        </w:rPr>
        <w:t>7) проводит ежеквартальный мониторинг достижения целевых индикаторов.</w:t>
      </w: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 ответственный исполнитель  в срок до 30 числа месяца, следующего за отчетным кварталом, осуществляет мониторинг реализации муниципальной программы.</w:t>
      </w: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47C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747C7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программы осуществляется заместителем Главы Чебаркульского городского округа по  социальным вопросам.</w:t>
      </w:r>
    </w:p>
    <w:p w:rsidR="00B04272" w:rsidRPr="008A33E6" w:rsidRDefault="00B04272" w:rsidP="00B042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8" w:history="1">
        <w:r w:rsidRPr="008A33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8A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4272" w:rsidRDefault="00B04272" w:rsidP="00B042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8A3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8A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муниципальной программы.</w:t>
      </w:r>
    </w:p>
    <w:p w:rsidR="00B04272" w:rsidRDefault="00B04272" w:rsidP="00B042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 в пределах своей компетенции ежеквартально                                (за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4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о 15 числа месяца, следующего за отчетным кварталом, направляют ответственному исполнителю информацию для проведения мониторинга о ходе реализации программы.</w:t>
      </w:r>
    </w:p>
    <w:p w:rsidR="00B04272" w:rsidRDefault="00B04272" w:rsidP="00B042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B04272" w:rsidRPr="00B747C7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7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Ответственный исполнитель представляет в Комитет по стратегическому развитию администрации Чебаркульского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отчетность о реализации и оценке</w:t>
      </w:r>
      <w:r w:rsidRPr="00B747C7">
        <w:rPr>
          <w:rFonts w:ascii="Times New Roman" w:eastAsia="Calibri" w:hAnsi="Times New Roman" w:cs="Times New Roman"/>
          <w:sz w:val="28"/>
          <w:szCs w:val="28"/>
        </w:rPr>
        <w:t xml:space="preserve"> эффективности  муниципальной программы до 01 марта года, следующего </w:t>
      </w:r>
      <w:proofErr w:type="gramStart"/>
      <w:r w:rsidRPr="00B747C7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B747C7">
        <w:rPr>
          <w:rFonts w:ascii="Times New Roman" w:eastAsia="Calibri" w:hAnsi="Times New Roman" w:cs="Times New Roman"/>
          <w:sz w:val="28"/>
          <w:szCs w:val="28"/>
        </w:rPr>
        <w:t xml:space="preserve"> отчетным.</w:t>
      </w:r>
    </w:p>
    <w:p w:rsidR="00B04272" w:rsidRPr="00747F78" w:rsidRDefault="00B04272" w:rsidP="00B042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</w:t>
      </w:r>
      <w:r w:rsidRPr="00E1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программы позволит повысить уровень и качество жизни граждан отдельных категорий на территории Чебаркульского городского округа.</w:t>
      </w:r>
    </w:p>
    <w:p w:rsidR="00B04272" w:rsidRDefault="00B04272" w:rsidP="00B04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планируется  достижение ожидаемых целевых индикаторов и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4272" w:rsidRPr="00854CF4" w:rsidRDefault="00B04272" w:rsidP="00B0427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0"/>
        <w:gridCol w:w="1029"/>
        <w:gridCol w:w="1085"/>
        <w:gridCol w:w="1147"/>
        <w:gridCol w:w="1701"/>
        <w:gridCol w:w="1276"/>
      </w:tblGrid>
      <w:tr w:rsidR="00B04272" w:rsidTr="007147E6">
        <w:trPr>
          <w:trHeight w:val="1836"/>
        </w:trPr>
        <w:tc>
          <w:tcPr>
            <w:tcW w:w="534" w:type="dxa"/>
            <w:vMerge w:val="restart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700" w:type="dxa"/>
            <w:vMerge w:val="restart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114" w:type="dxa"/>
            <w:gridSpan w:val="2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 w:val="restart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</w:t>
            </w: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</w:t>
            </w: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</w:t>
            </w: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04272" w:rsidTr="007147E6">
        <w:trPr>
          <w:trHeight w:val="364"/>
        </w:trPr>
        <w:tc>
          <w:tcPr>
            <w:tcW w:w="534" w:type="dxa"/>
            <w:vMerge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5" w:type="dxa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7" w:type="dxa"/>
            <w:vMerge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272" w:rsidTr="007147E6">
        <w:tc>
          <w:tcPr>
            <w:tcW w:w="534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04272" w:rsidRPr="002038B1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4272" w:rsidTr="007147E6">
        <w:tc>
          <w:tcPr>
            <w:tcW w:w="534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4272" w:rsidRPr="00E22165" w:rsidRDefault="00B04272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65">
              <w:rPr>
                <w:rFonts w:ascii="Times New Roman" w:hAnsi="Times New Roman" w:cs="Times New Roman"/>
                <w:sz w:val="24"/>
                <w:szCs w:val="24"/>
              </w:rPr>
              <w:t>Доля  граждан,</w:t>
            </w:r>
            <w:r w:rsidRPr="00E2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помощи</w:t>
            </w:r>
          </w:p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9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85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47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04272" w:rsidTr="007147E6">
        <w:tc>
          <w:tcPr>
            <w:tcW w:w="534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4272" w:rsidRPr="001E390C" w:rsidRDefault="00B04272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0C">
              <w:rPr>
                <w:rFonts w:ascii="Times New Roman" w:hAnsi="Times New Roman" w:cs="Times New Roman"/>
                <w:sz w:val="24"/>
                <w:szCs w:val="24"/>
              </w:rPr>
              <w:t>Количество городских акций и мероприятий, посвященных памятным датам, акций и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социальной направленности</w:t>
            </w:r>
          </w:p>
          <w:p w:rsidR="00B04272" w:rsidRPr="00E22165" w:rsidRDefault="00B04272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9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4272" w:rsidTr="007147E6">
        <w:tc>
          <w:tcPr>
            <w:tcW w:w="534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4272" w:rsidRPr="001E390C" w:rsidRDefault="00B04272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7428">
              <w:rPr>
                <w:rFonts w:ascii="Times New Roman" w:hAnsi="Times New Roman" w:cs="Times New Roman"/>
                <w:sz w:val="24"/>
                <w:szCs w:val="24"/>
              </w:rPr>
              <w:t xml:space="preserve">Доля пожилых граждан и граждан  других категорий, </w:t>
            </w:r>
            <w:r w:rsidRPr="002C7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оказаны меры социальной поддержки от общего числа пожилых граждан и граждан других категорий, обратившихся за мерами социальной поддержки</w:t>
            </w:r>
          </w:p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9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5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4272" w:rsidTr="007147E6">
        <w:tc>
          <w:tcPr>
            <w:tcW w:w="534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04272" w:rsidRPr="00292E15" w:rsidRDefault="00B04272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E15">
              <w:rPr>
                <w:rFonts w:ascii="Times New Roman" w:hAnsi="Times New Roman" w:cs="Times New Roman"/>
                <w:sz w:val="24"/>
                <w:szCs w:val="24"/>
              </w:rPr>
              <w:t>4. Доля граждан,  получивших  срочные социальные услуги</w:t>
            </w:r>
            <w:r w:rsidRPr="0029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социальные услуги в форме социального обслуживания на дому, в полустационарной форме  в условиях дневного пребывания, в общем числе граждан, обратившихся за предоставлением  срочных </w:t>
            </w:r>
            <w:r w:rsidRPr="00292E15"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  <w:r w:rsidRPr="0029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социальных услуг в форме социального обслуживания на дому, в полустационарной форме  в условиях дневного пребывания %.</w:t>
            </w:r>
          </w:p>
          <w:p w:rsidR="00B04272" w:rsidRPr="00292E15" w:rsidRDefault="00B04272" w:rsidP="00714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72" w:rsidRPr="00292E15" w:rsidRDefault="00B04272" w:rsidP="00714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9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5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B04272" w:rsidRDefault="00B04272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Pr="00221D5E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обоснование муниципальной программы».</w:t>
      </w:r>
    </w:p>
    <w:p w:rsidR="00B04272" w:rsidRPr="00221D5E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реализации муниципальной программы в части </w:t>
      </w:r>
      <w:r w:rsidRPr="00221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B04272" w:rsidRPr="008822CD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2D02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программы 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округа, рассчитанных  на основании Методики и порядка планирования бюджетных ассигнований бюджета Чебаркул</w:t>
      </w:r>
      <w:r>
        <w:rPr>
          <w:rFonts w:ascii="Times New Roman" w:eastAsia="Calibri" w:hAnsi="Times New Roman" w:cs="Times New Roman"/>
          <w:sz w:val="28"/>
          <w:szCs w:val="28"/>
        </w:rPr>
        <w:t>ьского городского округа на 2018 год и плановый период 2019 и 2020 годов, утвержденной приказом начальника Финансового управления Чебаркульского городского округа  от 28.08.2017 года № 29.</w:t>
      </w:r>
      <w:proofErr w:type="gramEnd"/>
    </w:p>
    <w:p w:rsidR="00B04272" w:rsidRPr="00D92D0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272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«Перечень и краткое описание подпрограмм».</w:t>
      </w: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72" w:rsidRPr="00854CF4" w:rsidRDefault="00B04272" w:rsidP="00B04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8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подпрограмм.</w:t>
      </w:r>
    </w:p>
    <w:p w:rsidR="00B04272" w:rsidRDefault="00B04272" w:rsidP="00B04272"/>
    <w:p w:rsidR="00B04272" w:rsidRDefault="00B04272" w:rsidP="00B04272"/>
    <w:p w:rsidR="00B04272" w:rsidRDefault="00B04272" w:rsidP="00B04272"/>
    <w:p w:rsidR="00B04272" w:rsidRDefault="00B04272"/>
    <w:sectPr w:rsidR="00B04272" w:rsidSect="00E95B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26126"/>
      <w:docPartObj>
        <w:docPartGallery w:val="Page Numbers (Top of Page)"/>
        <w:docPartUnique/>
      </w:docPartObj>
    </w:sdtPr>
    <w:sdtEndPr/>
    <w:sdtContent>
      <w:p w:rsidR="002F5D89" w:rsidRDefault="009F68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5D89" w:rsidRDefault="009F68DB" w:rsidP="00246460">
    <w:pPr>
      <w:pStyle w:val="a6"/>
      <w:tabs>
        <w:tab w:val="clear" w:pos="4677"/>
        <w:tab w:val="clear" w:pos="9355"/>
        <w:tab w:val="left" w:pos="848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BE7"/>
    <w:multiLevelType w:val="hybridMultilevel"/>
    <w:tmpl w:val="500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65BD"/>
    <w:multiLevelType w:val="hybridMultilevel"/>
    <w:tmpl w:val="B93CD746"/>
    <w:lvl w:ilvl="0" w:tplc="E7AA0E8A">
      <w:start w:val="1"/>
      <w:numFmt w:val="bullet"/>
      <w:lvlText w:val=""/>
      <w:lvlJc w:val="left"/>
      <w:pPr>
        <w:tabs>
          <w:tab w:val="num" w:pos="6884"/>
        </w:tabs>
        <w:ind w:left="6884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550E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F6C94"/>
    <w:multiLevelType w:val="multilevel"/>
    <w:tmpl w:val="6704A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C8B6661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8">
    <w:nsid w:val="438C171A"/>
    <w:multiLevelType w:val="hybridMultilevel"/>
    <w:tmpl w:val="06566BFA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A41F83"/>
    <w:multiLevelType w:val="hybridMultilevel"/>
    <w:tmpl w:val="E958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043E5"/>
    <w:multiLevelType w:val="multilevel"/>
    <w:tmpl w:val="B3BCB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BB57E70"/>
    <w:multiLevelType w:val="hybridMultilevel"/>
    <w:tmpl w:val="5C2EE632"/>
    <w:lvl w:ilvl="0" w:tplc="699AD7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100A32"/>
    <w:multiLevelType w:val="hybridMultilevel"/>
    <w:tmpl w:val="500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F7259"/>
    <w:multiLevelType w:val="hybridMultilevel"/>
    <w:tmpl w:val="10D05666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512CEE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0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46"/>
    <w:rsid w:val="00437524"/>
    <w:rsid w:val="00513D46"/>
    <w:rsid w:val="006C0DBF"/>
    <w:rsid w:val="006F5E23"/>
    <w:rsid w:val="009F68DB"/>
    <w:rsid w:val="00B04272"/>
    <w:rsid w:val="00CF6C49"/>
    <w:rsid w:val="00D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C4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04272"/>
  </w:style>
  <w:style w:type="paragraph" w:styleId="a5">
    <w:name w:val="Normal (Web)"/>
    <w:basedOn w:val="a"/>
    <w:uiPriority w:val="99"/>
    <w:rsid w:val="00B0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04272"/>
  </w:style>
  <w:style w:type="paragraph" w:styleId="a6">
    <w:name w:val="header"/>
    <w:basedOn w:val="a"/>
    <w:link w:val="a7"/>
    <w:uiPriority w:val="99"/>
    <w:unhideWhenUsed/>
    <w:rsid w:val="00B0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72"/>
  </w:style>
  <w:style w:type="table" w:styleId="a8">
    <w:name w:val="Table Grid"/>
    <w:basedOn w:val="a1"/>
    <w:uiPriority w:val="59"/>
    <w:rsid w:val="00B0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0427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04272"/>
  </w:style>
  <w:style w:type="paragraph" w:styleId="aa">
    <w:name w:val="No Spacing"/>
    <w:uiPriority w:val="1"/>
    <w:qFormat/>
    <w:rsid w:val="00B04272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B042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B04272"/>
    <w:rPr>
      <w:rFonts w:cs="Times New Roman"/>
      <w:color w:val="106BBE"/>
    </w:rPr>
  </w:style>
  <w:style w:type="paragraph" w:customStyle="1" w:styleId="ConsPlusNonformat">
    <w:name w:val="ConsPlusNonformat"/>
    <w:rsid w:val="00B04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B0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4272"/>
    <w:rPr>
      <w:color w:val="808080"/>
    </w:rPr>
  </w:style>
  <w:style w:type="paragraph" w:styleId="ae">
    <w:name w:val="footer"/>
    <w:basedOn w:val="a"/>
    <w:link w:val="af"/>
    <w:uiPriority w:val="99"/>
    <w:unhideWhenUsed/>
    <w:rsid w:val="00B0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4272"/>
  </w:style>
  <w:style w:type="table" w:customStyle="1" w:styleId="110">
    <w:name w:val="Сетка таблицы11"/>
    <w:basedOn w:val="a1"/>
    <w:next w:val="a8"/>
    <w:uiPriority w:val="59"/>
    <w:rsid w:val="00B0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C4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04272"/>
  </w:style>
  <w:style w:type="paragraph" w:styleId="a5">
    <w:name w:val="Normal (Web)"/>
    <w:basedOn w:val="a"/>
    <w:uiPriority w:val="99"/>
    <w:rsid w:val="00B0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04272"/>
  </w:style>
  <w:style w:type="paragraph" w:styleId="a6">
    <w:name w:val="header"/>
    <w:basedOn w:val="a"/>
    <w:link w:val="a7"/>
    <w:uiPriority w:val="99"/>
    <w:unhideWhenUsed/>
    <w:rsid w:val="00B0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72"/>
  </w:style>
  <w:style w:type="table" w:styleId="a8">
    <w:name w:val="Table Grid"/>
    <w:basedOn w:val="a1"/>
    <w:uiPriority w:val="59"/>
    <w:rsid w:val="00B0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0427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04272"/>
  </w:style>
  <w:style w:type="paragraph" w:styleId="aa">
    <w:name w:val="No Spacing"/>
    <w:uiPriority w:val="1"/>
    <w:qFormat/>
    <w:rsid w:val="00B04272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B042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B04272"/>
    <w:rPr>
      <w:rFonts w:cs="Times New Roman"/>
      <w:color w:val="106BBE"/>
    </w:rPr>
  </w:style>
  <w:style w:type="paragraph" w:customStyle="1" w:styleId="ConsPlusNonformat">
    <w:name w:val="ConsPlusNonformat"/>
    <w:rsid w:val="00B04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B0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4272"/>
    <w:rPr>
      <w:color w:val="808080"/>
    </w:rPr>
  </w:style>
  <w:style w:type="paragraph" w:styleId="ae">
    <w:name w:val="footer"/>
    <w:basedOn w:val="a"/>
    <w:link w:val="af"/>
    <w:uiPriority w:val="99"/>
    <w:unhideWhenUsed/>
    <w:rsid w:val="00B0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4272"/>
  </w:style>
  <w:style w:type="table" w:customStyle="1" w:styleId="110">
    <w:name w:val="Сетка таблицы11"/>
    <w:basedOn w:val="a1"/>
    <w:next w:val="a8"/>
    <w:uiPriority w:val="59"/>
    <w:rsid w:val="00B0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6EF5B945044B69DFDAA87E24DDE5C51A3D8B9BA9594ECCF5D1361626B88A4BADFE7DDAE4CABE5A762C8CAs1mFE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6834</Words>
  <Characters>38959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2017-11-10T09:41:00Z</cp:lastPrinted>
  <dcterms:created xsi:type="dcterms:W3CDTF">2017-11-10T09:30:00Z</dcterms:created>
  <dcterms:modified xsi:type="dcterms:W3CDTF">2017-11-20T05:32:00Z</dcterms:modified>
</cp:coreProperties>
</file>